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999" w:rsidRDefault="005E1F08" w:rsidP="00986B77">
      <w:pPr>
        <w:pStyle w:val="Footer"/>
        <w:rPr>
          <w:sz w:val="16"/>
          <w:szCs w:val="16"/>
        </w:rPr>
      </w:pPr>
      <w:r w:rsidRPr="005E1F08">
        <w:rPr>
          <w:b/>
          <w:sz w:val="28"/>
          <w:szCs w:val="28"/>
        </w:rPr>
        <w:t xml:space="preserve">RIPAL Study Penicillin allergy assessment and de-label Protocol V1.0 23-05-22 </w:t>
      </w:r>
      <w:r w:rsidR="00986B77" w:rsidRPr="00986B77">
        <w:rPr>
          <w:bCs/>
          <w:sz w:val="16"/>
          <w:szCs w:val="16"/>
        </w:rPr>
        <w:t>(</w:t>
      </w:r>
      <w:r w:rsidR="00986B77" w:rsidRPr="00986B77">
        <w:rPr>
          <w:sz w:val="16"/>
          <w:szCs w:val="16"/>
        </w:rPr>
        <w:t>Adapted, with permission, from Health Improvement Scotland Scottish Antimicrobial Prescribing Group)</w:t>
      </w:r>
    </w:p>
    <w:p w:rsidR="00986B77" w:rsidRPr="00986B77" w:rsidRDefault="00986B77" w:rsidP="00986B77">
      <w:pPr>
        <w:pStyle w:val="Footer"/>
        <w:rPr>
          <w:sz w:val="16"/>
          <w:szCs w:val="16"/>
        </w:rPr>
      </w:pPr>
    </w:p>
    <w:p w:rsidR="0071163C" w:rsidRPr="00930746" w:rsidRDefault="00782D9B" w:rsidP="0071163C">
      <w:pPr>
        <w:rPr>
          <w:sz w:val="20"/>
          <w:szCs w:val="20"/>
        </w:rPr>
      </w:pPr>
      <w:r>
        <w:rPr>
          <w:sz w:val="24"/>
          <w:szCs w:val="24"/>
        </w:rPr>
        <w:t>To</w:t>
      </w:r>
      <w:r w:rsidR="00257E93">
        <w:rPr>
          <w:sz w:val="24"/>
          <w:szCs w:val="24"/>
        </w:rPr>
        <w:t xml:space="preserve"> be used in conjunction with a decision support</w:t>
      </w:r>
      <w:r w:rsidR="0071163C" w:rsidRPr="00EA0894">
        <w:rPr>
          <w:sz w:val="24"/>
          <w:szCs w:val="24"/>
        </w:rPr>
        <w:t xml:space="preserve"> algorithm and should only be carried out by staff trained </w:t>
      </w:r>
      <w:r w:rsidR="00FE5A47">
        <w:rPr>
          <w:sz w:val="24"/>
          <w:szCs w:val="24"/>
        </w:rPr>
        <w:t>in</w:t>
      </w:r>
      <w:r w:rsidR="0071163C" w:rsidRPr="00EA0894">
        <w:rPr>
          <w:sz w:val="24"/>
          <w:szCs w:val="24"/>
        </w:rPr>
        <w:t xml:space="preserve"> use the de-labelling </w:t>
      </w:r>
      <w:r w:rsidR="00EA0894" w:rsidRPr="00EA0894">
        <w:rPr>
          <w:sz w:val="24"/>
          <w:szCs w:val="24"/>
        </w:rPr>
        <w:t>algorithm</w:t>
      </w:r>
      <w:r>
        <w:rPr>
          <w:sz w:val="24"/>
          <w:szCs w:val="24"/>
        </w:rPr>
        <w:t>,</w:t>
      </w:r>
      <w:r w:rsidR="0071163C" w:rsidRPr="00EA0894">
        <w:rPr>
          <w:sz w:val="24"/>
          <w:szCs w:val="24"/>
        </w:rPr>
        <w:t xml:space="preserve"> in an inpatient environment with access to anaphylaxis drugs and expertise in anaphylaxis management. Patients must be closely observed and must not leave the ward</w:t>
      </w:r>
      <w:r w:rsidR="00C90EED">
        <w:rPr>
          <w:sz w:val="24"/>
          <w:szCs w:val="24"/>
        </w:rPr>
        <w:t xml:space="preserve"> during testing</w:t>
      </w:r>
      <w:r>
        <w:rPr>
          <w:sz w:val="24"/>
          <w:szCs w:val="24"/>
        </w:rPr>
        <w:t>.</w:t>
      </w:r>
    </w:p>
    <w:p w:rsidR="0071163C" w:rsidRPr="00EA0894" w:rsidRDefault="0071163C" w:rsidP="0071163C">
      <w:pPr>
        <w:rPr>
          <w:color w:val="FF0000"/>
          <w:sz w:val="20"/>
          <w:szCs w:val="20"/>
        </w:rPr>
      </w:pPr>
      <w:r w:rsidRPr="00EA0894">
        <w:rPr>
          <w:color w:val="FF0000"/>
          <w:sz w:val="20"/>
          <w:szCs w:val="20"/>
        </w:rPr>
        <w:t>Ensure that properly equipped resuscitation equipment is immediately available in the clinical setting</w:t>
      </w:r>
    </w:p>
    <w:tbl>
      <w:tblPr>
        <w:tblStyle w:val="TableGrid"/>
        <w:tblW w:w="9923" w:type="dxa"/>
        <w:tblInd w:w="-289" w:type="dxa"/>
        <w:tblLook w:val="04A0" w:firstRow="1" w:lastRow="0" w:firstColumn="1" w:lastColumn="0" w:noHBand="0" w:noVBand="1"/>
      </w:tblPr>
      <w:tblGrid>
        <w:gridCol w:w="5104"/>
        <w:gridCol w:w="283"/>
        <w:gridCol w:w="4536"/>
      </w:tblGrid>
      <w:tr w:rsidR="00930746" w:rsidRPr="00930746" w:rsidTr="00B92F17">
        <w:tc>
          <w:tcPr>
            <w:tcW w:w="5104" w:type="dxa"/>
          </w:tcPr>
          <w:p w:rsidR="00930746" w:rsidRPr="00EA0894" w:rsidRDefault="00930746" w:rsidP="00930746">
            <w:pPr>
              <w:rPr>
                <w:b/>
                <w:sz w:val="20"/>
                <w:szCs w:val="20"/>
              </w:rPr>
            </w:pPr>
            <w:r w:rsidRPr="00EA0894">
              <w:rPr>
                <w:b/>
                <w:sz w:val="20"/>
                <w:szCs w:val="20"/>
              </w:rPr>
              <w:t>Preparation:</w:t>
            </w:r>
          </w:p>
          <w:p w:rsidR="00930746" w:rsidRPr="00EA0894" w:rsidRDefault="00930746" w:rsidP="00930746">
            <w:pPr>
              <w:rPr>
                <w:sz w:val="20"/>
                <w:szCs w:val="20"/>
              </w:rPr>
            </w:pPr>
            <w:r w:rsidRPr="00EA0894">
              <w:rPr>
                <w:sz w:val="20"/>
                <w:szCs w:val="20"/>
              </w:rPr>
              <w:t xml:space="preserve">1. Review the exclusion criteria for </w:t>
            </w:r>
            <w:r w:rsidR="00F55CE4">
              <w:rPr>
                <w:sz w:val="20"/>
                <w:szCs w:val="20"/>
              </w:rPr>
              <w:t xml:space="preserve">direct </w:t>
            </w:r>
            <w:r w:rsidRPr="00EA0894">
              <w:rPr>
                <w:sz w:val="20"/>
                <w:szCs w:val="20"/>
              </w:rPr>
              <w:t>oral challenge. Oral antihistamines should be stopped 72 hours prior to challenge since they may mask true allergy.</w:t>
            </w:r>
          </w:p>
          <w:p w:rsidR="00930746" w:rsidRPr="00EA0894" w:rsidRDefault="00930746" w:rsidP="00930746">
            <w:pPr>
              <w:rPr>
                <w:sz w:val="20"/>
                <w:szCs w:val="20"/>
              </w:rPr>
            </w:pPr>
            <w:r w:rsidRPr="00EA0894">
              <w:rPr>
                <w:sz w:val="20"/>
                <w:szCs w:val="20"/>
              </w:rPr>
              <w:t>2. Select the antibiotic to be used. In most cases this should be the penicillin antibiotic to which the patient had the adverse reaction. If the antibiotic is unknown then amoxicillin is an appropriate choice.</w:t>
            </w:r>
          </w:p>
          <w:p w:rsidR="00930746" w:rsidRPr="00EA0894" w:rsidRDefault="00930746" w:rsidP="00930746">
            <w:pPr>
              <w:rPr>
                <w:sz w:val="20"/>
                <w:szCs w:val="20"/>
              </w:rPr>
            </w:pPr>
            <w:r w:rsidRPr="00EA0894">
              <w:rPr>
                <w:sz w:val="20"/>
                <w:szCs w:val="20"/>
              </w:rPr>
              <w:t>3. Discuss the plan for an oral penicillin challenge with the patient and give them the patient information sheet.</w:t>
            </w:r>
          </w:p>
          <w:p w:rsidR="00930746" w:rsidRPr="00EA0894" w:rsidRDefault="00930746" w:rsidP="00930746">
            <w:pPr>
              <w:rPr>
                <w:sz w:val="20"/>
                <w:szCs w:val="20"/>
              </w:rPr>
            </w:pPr>
            <w:r w:rsidRPr="00EA0894">
              <w:rPr>
                <w:sz w:val="20"/>
                <w:szCs w:val="20"/>
              </w:rPr>
              <w:t>4. Record in the case notes that consent has been obtained.</w:t>
            </w:r>
          </w:p>
        </w:tc>
        <w:tc>
          <w:tcPr>
            <w:tcW w:w="283" w:type="dxa"/>
            <w:shd w:val="clear" w:color="auto" w:fill="D9D9D9" w:themeFill="background1" w:themeFillShade="D9"/>
          </w:tcPr>
          <w:p w:rsidR="00930746" w:rsidRPr="00930746" w:rsidRDefault="00930746" w:rsidP="00930746">
            <w:pPr>
              <w:pStyle w:val="Default"/>
              <w:rPr>
                <w:sz w:val="20"/>
                <w:szCs w:val="20"/>
              </w:rPr>
            </w:pPr>
          </w:p>
        </w:tc>
        <w:tc>
          <w:tcPr>
            <w:tcW w:w="4536" w:type="dxa"/>
            <w:shd w:val="clear" w:color="auto" w:fill="FF0000"/>
          </w:tcPr>
          <w:p w:rsidR="0015636E" w:rsidRPr="00B92F17" w:rsidRDefault="00930746" w:rsidP="0015636E">
            <w:pPr>
              <w:pStyle w:val="Default"/>
              <w:rPr>
                <w:b/>
                <w:bCs/>
                <w:color w:val="FFFFFF" w:themeColor="background1"/>
                <w:sz w:val="22"/>
                <w:szCs w:val="22"/>
              </w:rPr>
            </w:pPr>
            <w:r w:rsidRPr="00B92F17">
              <w:rPr>
                <w:b/>
                <w:bCs/>
                <w:color w:val="FFFFFF" w:themeColor="background1"/>
                <w:sz w:val="22"/>
                <w:szCs w:val="22"/>
              </w:rPr>
              <w:t>Exclusion Criteria</w:t>
            </w:r>
          </w:p>
          <w:p w:rsidR="00930746" w:rsidRPr="002A5D06" w:rsidRDefault="001C1675" w:rsidP="00930746">
            <w:pPr>
              <w:pStyle w:val="Default"/>
              <w:spacing w:after="13"/>
              <w:rPr>
                <w:color w:val="FFFFFF" w:themeColor="background1"/>
                <w:sz w:val="22"/>
                <w:szCs w:val="22"/>
              </w:rPr>
            </w:pPr>
            <w:r w:rsidRPr="002A5D06">
              <w:rPr>
                <w:color w:val="FFFFFF" w:themeColor="background1"/>
                <w:sz w:val="22"/>
                <w:szCs w:val="22"/>
              </w:rPr>
              <w:t>•</w:t>
            </w:r>
            <w:r>
              <w:t xml:space="preserve"> </w:t>
            </w:r>
            <w:r w:rsidR="00930746" w:rsidRPr="002A5D06">
              <w:rPr>
                <w:color w:val="FFFFFF" w:themeColor="background1"/>
                <w:sz w:val="22"/>
                <w:szCs w:val="22"/>
              </w:rPr>
              <w:t>Pregnant</w:t>
            </w:r>
            <w:r w:rsidR="0015636E" w:rsidRPr="002A5D06">
              <w:rPr>
                <w:color w:val="FFFFFF" w:themeColor="background1"/>
                <w:sz w:val="22"/>
                <w:szCs w:val="22"/>
              </w:rPr>
              <w:t>/breast feeding</w:t>
            </w:r>
          </w:p>
          <w:p w:rsidR="001C1675" w:rsidRDefault="00930746" w:rsidP="001C1675">
            <w:pPr>
              <w:pStyle w:val="Default"/>
              <w:spacing w:after="13"/>
              <w:rPr>
                <w:color w:val="FFFFFF" w:themeColor="background1"/>
                <w:sz w:val="22"/>
                <w:szCs w:val="22"/>
              </w:rPr>
            </w:pPr>
            <w:r w:rsidRPr="002A5D06">
              <w:rPr>
                <w:color w:val="FFFFFF" w:themeColor="background1"/>
                <w:sz w:val="22"/>
                <w:szCs w:val="22"/>
              </w:rPr>
              <w:t>•</w:t>
            </w:r>
            <w:r w:rsidR="001C1675">
              <w:t xml:space="preserve"> </w:t>
            </w:r>
            <w:r w:rsidR="00AE367D" w:rsidRPr="00AE367D">
              <w:rPr>
                <w:color w:val="FFFFFF" w:themeColor="background1"/>
              </w:rPr>
              <w:t>R</w:t>
            </w:r>
            <w:r w:rsidR="00AE367D" w:rsidRPr="00AE367D">
              <w:rPr>
                <w:color w:val="FFFFFF" w:themeColor="background1"/>
                <w:sz w:val="22"/>
                <w:szCs w:val="22"/>
              </w:rPr>
              <w:t xml:space="preserve">espiratory or cardiac compromise </w:t>
            </w:r>
            <w:r w:rsidR="001C1675" w:rsidRPr="001C1675">
              <w:rPr>
                <w:color w:val="FFFFFF" w:themeColor="background1"/>
                <w:sz w:val="22"/>
                <w:szCs w:val="22"/>
              </w:rPr>
              <w:t>(BP</w:t>
            </w:r>
            <w:r w:rsidR="001C1675">
              <w:rPr>
                <w:color w:val="FFFFFF" w:themeColor="background1"/>
                <w:sz w:val="22"/>
                <w:szCs w:val="22"/>
              </w:rPr>
              <w:t>/</w:t>
            </w:r>
            <w:r w:rsidR="001C1675" w:rsidRPr="001C1675">
              <w:rPr>
                <w:color w:val="FFFFFF" w:themeColor="background1"/>
                <w:sz w:val="22"/>
                <w:szCs w:val="22"/>
              </w:rPr>
              <w:t xml:space="preserve"> HR outside normal range</w:t>
            </w:r>
            <w:r w:rsidR="00AE367D">
              <w:rPr>
                <w:color w:val="FFFFFF" w:themeColor="background1"/>
                <w:sz w:val="22"/>
                <w:szCs w:val="22"/>
              </w:rPr>
              <w:t xml:space="preserve"> or requiring oxygen</w:t>
            </w:r>
            <w:r w:rsidR="001C1675" w:rsidRPr="001C1675">
              <w:rPr>
                <w:color w:val="FFFFFF" w:themeColor="background1"/>
                <w:sz w:val="22"/>
                <w:szCs w:val="22"/>
              </w:rPr>
              <w:t xml:space="preserve">) </w:t>
            </w:r>
          </w:p>
          <w:p w:rsidR="00782D9B" w:rsidRPr="002A5D06" w:rsidRDefault="001C1675" w:rsidP="001C1675">
            <w:pPr>
              <w:pStyle w:val="Default"/>
              <w:spacing w:after="13"/>
              <w:rPr>
                <w:color w:val="FFFFFF" w:themeColor="background1"/>
                <w:sz w:val="22"/>
                <w:szCs w:val="22"/>
              </w:rPr>
            </w:pPr>
            <w:r w:rsidRPr="002A5D06">
              <w:rPr>
                <w:color w:val="FFFFFF" w:themeColor="background1"/>
                <w:sz w:val="22"/>
                <w:szCs w:val="22"/>
              </w:rPr>
              <w:t>•</w:t>
            </w:r>
            <w:r>
              <w:t xml:space="preserve"> </w:t>
            </w:r>
            <w:r>
              <w:rPr>
                <w:color w:val="FFFFFF" w:themeColor="background1"/>
                <w:sz w:val="22"/>
                <w:szCs w:val="22"/>
              </w:rPr>
              <w:t>B</w:t>
            </w:r>
            <w:r w:rsidR="00782D9B" w:rsidRPr="002A5D06">
              <w:rPr>
                <w:color w:val="FFFFFF" w:themeColor="background1"/>
                <w:sz w:val="22"/>
                <w:szCs w:val="22"/>
              </w:rPr>
              <w:t>rittle asthma, severe aortic stenosis</w:t>
            </w:r>
          </w:p>
          <w:p w:rsidR="00930746" w:rsidRPr="002A5D06" w:rsidRDefault="00930746" w:rsidP="004D4BB3">
            <w:pPr>
              <w:pStyle w:val="Default"/>
              <w:spacing w:after="13"/>
              <w:rPr>
                <w:color w:val="FFFFFF" w:themeColor="background1"/>
                <w:sz w:val="22"/>
                <w:szCs w:val="22"/>
              </w:rPr>
            </w:pPr>
            <w:r w:rsidRPr="002A5D06">
              <w:rPr>
                <w:color w:val="FFFFFF" w:themeColor="background1"/>
                <w:sz w:val="22"/>
                <w:szCs w:val="22"/>
              </w:rPr>
              <w:t>•</w:t>
            </w:r>
            <w:r w:rsidR="001C1675">
              <w:rPr>
                <w:color w:val="FFFFFF" w:themeColor="background1"/>
                <w:sz w:val="22"/>
                <w:szCs w:val="22"/>
              </w:rPr>
              <w:t xml:space="preserve"> </w:t>
            </w:r>
            <w:r w:rsidR="007D4962">
              <w:rPr>
                <w:color w:val="FFFFFF" w:themeColor="background1"/>
                <w:sz w:val="22"/>
                <w:szCs w:val="22"/>
              </w:rPr>
              <w:t>B</w:t>
            </w:r>
            <w:r w:rsidRPr="002A5D06">
              <w:rPr>
                <w:color w:val="FFFFFF" w:themeColor="background1"/>
                <w:sz w:val="22"/>
                <w:szCs w:val="22"/>
              </w:rPr>
              <w:t>eta blocker unless can be withheld 24 hours before</w:t>
            </w:r>
            <w:r w:rsidR="002A5D06" w:rsidRPr="002A5D06">
              <w:rPr>
                <w:color w:val="FFFFFF" w:themeColor="background1"/>
                <w:sz w:val="22"/>
                <w:szCs w:val="22"/>
              </w:rPr>
              <w:t>, antihistamines if can’t be withheld on day of testing</w:t>
            </w:r>
            <w:r w:rsidR="002607AE">
              <w:rPr>
                <w:color w:val="FFFFFF" w:themeColor="background1"/>
                <w:sz w:val="22"/>
                <w:szCs w:val="22"/>
              </w:rPr>
              <w:t>, steroids in the last 10 days</w:t>
            </w:r>
          </w:p>
          <w:p w:rsidR="002A5D06" w:rsidRPr="002A5D06" w:rsidRDefault="002A5D06" w:rsidP="004D4BB3">
            <w:pPr>
              <w:pStyle w:val="Default"/>
              <w:spacing w:after="13"/>
              <w:rPr>
                <w:color w:val="FFFFFF" w:themeColor="background1"/>
                <w:sz w:val="22"/>
                <w:szCs w:val="22"/>
              </w:rPr>
            </w:pPr>
            <w:r w:rsidRPr="002A5D06">
              <w:rPr>
                <w:color w:val="FFFFFF" w:themeColor="background1"/>
                <w:sz w:val="22"/>
                <w:szCs w:val="22"/>
              </w:rPr>
              <w:t>•</w:t>
            </w:r>
            <w:r w:rsidR="001C1675">
              <w:rPr>
                <w:color w:val="FFFFFF" w:themeColor="background1"/>
                <w:sz w:val="22"/>
                <w:szCs w:val="22"/>
              </w:rPr>
              <w:t xml:space="preserve"> </w:t>
            </w:r>
            <w:r w:rsidRPr="002A5D06">
              <w:rPr>
                <w:color w:val="FFFFFF" w:themeColor="background1"/>
                <w:sz w:val="22"/>
                <w:szCs w:val="22"/>
              </w:rPr>
              <w:t xml:space="preserve">Anaphylaxis or </w:t>
            </w:r>
            <w:r w:rsidR="007D4962">
              <w:rPr>
                <w:color w:val="FFFFFF" w:themeColor="background1"/>
                <w:sz w:val="22"/>
                <w:szCs w:val="22"/>
              </w:rPr>
              <w:t>history of SCAR (e.g. TEN)</w:t>
            </w:r>
          </w:p>
          <w:p w:rsidR="00930746" w:rsidRPr="00B92F17" w:rsidRDefault="002A5D06" w:rsidP="00B92F17">
            <w:pPr>
              <w:pStyle w:val="Default"/>
              <w:spacing w:after="13"/>
              <w:rPr>
                <w:color w:val="FFFFFF" w:themeColor="background1"/>
                <w:sz w:val="22"/>
                <w:szCs w:val="22"/>
              </w:rPr>
            </w:pPr>
            <w:r w:rsidRPr="002A5D06">
              <w:rPr>
                <w:color w:val="FFFFFF" w:themeColor="background1"/>
                <w:sz w:val="22"/>
                <w:szCs w:val="22"/>
              </w:rPr>
              <w:t>•</w:t>
            </w:r>
            <w:r w:rsidR="007D4962">
              <w:t xml:space="preserve"> </w:t>
            </w:r>
            <w:r w:rsidR="007D4962" w:rsidRPr="007D4962">
              <w:rPr>
                <w:color w:val="FFFFFF" w:themeColor="background1"/>
                <w:sz w:val="22"/>
                <w:szCs w:val="22"/>
              </w:rPr>
              <w:t>Severe/brittle asthma or unstable coronary artery disease</w:t>
            </w:r>
            <w:r w:rsidR="007358B5" w:rsidRPr="007358B5">
              <w:rPr>
                <w:color w:val="FFFFFF" w:themeColor="background1"/>
              </w:rPr>
              <w:t xml:space="preserve">, </w:t>
            </w:r>
            <w:r w:rsidR="007358B5">
              <w:rPr>
                <w:color w:val="FFFFFF" w:themeColor="background1"/>
              </w:rPr>
              <w:t>u</w:t>
            </w:r>
            <w:r w:rsidR="007358B5" w:rsidRPr="007358B5">
              <w:rPr>
                <w:color w:val="FFFFFF" w:themeColor="background1"/>
                <w:sz w:val="22"/>
                <w:szCs w:val="22"/>
              </w:rPr>
              <w:t>ncontrolled heart failure</w:t>
            </w:r>
          </w:p>
        </w:tc>
      </w:tr>
      <w:tr w:rsidR="00B63726" w:rsidRPr="00930746" w:rsidTr="00B92F17">
        <w:trPr>
          <w:trHeight w:val="270"/>
        </w:trPr>
        <w:tc>
          <w:tcPr>
            <w:tcW w:w="5104" w:type="dxa"/>
            <w:vMerge w:val="restart"/>
          </w:tcPr>
          <w:p w:rsidR="00B63726" w:rsidRPr="00EA0894" w:rsidRDefault="00B63726" w:rsidP="00930746">
            <w:pPr>
              <w:pStyle w:val="Default"/>
              <w:rPr>
                <w:sz w:val="20"/>
                <w:szCs w:val="20"/>
              </w:rPr>
            </w:pPr>
            <w:r w:rsidRPr="00EA0894">
              <w:rPr>
                <w:b/>
                <w:bCs/>
                <w:sz w:val="20"/>
                <w:szCs w:val="20"/>
              </w:rPr>
              <w:t>Procedure for the oral challenge:</w:t>
            </w:r>
          </w:p>
          <w:p w:rsidR="00B63726" w:rsidRPr="00EA0894" w:rsidRDefault="00B63726" w:rsidP="00930746">
            <w:pPr>
              <w:pStyle w:val="Default"/>
              <w:spacing w:after="13"/>
              <w:rPr>
                <w:sz w:val="20"/>
                <w:szCs w:val="20"/>
              </w:rPr>
            </w:pPr>
            <w:r w:rsidRPr="00EA0894">
              <w:rPr>
                <w:sz w:val="20"/>
                <w:szCs w:val="20"/>
              </w:rPr>
              <w:t>1. Measure the patient’s observations (HR, BP, oxygen saturations, RR). If the patient has asthma then measure peak expiratory flow rate (PEFR).</w:t>
            </w:r>
          </w:p>
          <w:p w:rsidR="00B63726" w:rsidRPr="00EA0894" w:rsidRDefault="00B63726" w:rsidP="00930746">
            <w:pPr>
              <w:pStyle w:val="Default"/>
              <w:spacing w:after="13"/>
              <w:rPr>
                <w:sz w:val="20"/>
                <w:szCs w:val="20"/>
              </w:rPr>
            </w:pPr>
            <w:r w:rsidRPr="00EA0894">
              <w:rPr>
                <w:sz w:val="20"/>
                <w:szCs w:val="20"/>
              </w:rPr>
              <w:t>2. Prescribe and administer the antibiotic</w:t>
            </w:r>
            <w:r w:rsidR="00921867">
              <w:rPr>
                <w:sz w:val="20"/>
                <w:szCs w:val="20"/>
              </w:rPr>
              <w:t>. Patient and observer to</w:t>
            </w:r>
            <w:r w:rsidRPr="00EA0894">
              <w:rPr>
                <w:sz w:val="20"/>
                <w:szCs w:val="20"/>
              </w:rPr>
              <w:t xml:space="preserve"> remain within the clinical area for </w:t>
            </w:r>
            <w:r w:rsidR="00921867">
              <w:rPr>
                <w:sz w:val="20"/>
                <w:szCs w:val="20"/>
              </w:rPr>
              <w:t>60</w:t>
            </w:r>
            <w:r w:rsidRPr="00EA0894">
              <w:rPr>
                <w:sz w:val="20"/>
                <w:szCs w:val="20"/>
              </w:rPr>
              <w:t xml:space="preserve"> minutes.</w:t>
            </w:r>
          </w:p>
          <w:p w:rsidR="00B63726" w:rsidRPr="00EA0894" w:rsidRDefault="00B63726" w:rsidP="00930746">
            <w:pPr>
              <w:pStyle w:val="Default"/>
              <w:rPr>
                <w:sz w:val="20"/>
                <w:szCs w:val="20"/>
              </w:rPr>
            </w:pPr>
            <w:r w:rsidRPr="00EA0894">
              <w:rPr>
                <w:sz w:val="20"/>
                <w:szCs w:val="20"/>
              </w:rPr>
              <w:t xml:space="preserve">3. Antibiotics should be administered as a single therapeutic oral dose: e.g. Amoxicillin 500mg </w:t>
            </w:r>
          </w:p>
          <w:p w:rsidR="00B63726" w:rsidRPr="00EA0894" w:rsidRDefault="00B63726" w:rsidP="00930746">
            <w:pPr>
              <w:pStyle w:val="Default"/>
              <w:spacing w:after="13"/>
              <w:rPr>
                <w:sz w:val="20"/>
                <w:szCs w:val="20"/>
              </w:rPr>
            </w:pPr>
            <w:r w:rsidRPr="00EA0894">
              <w:rPr>
                <w:sz w:val="20"/>
                <w:szCs w:val="20"/>
              </w:rPr>
              <w:t>4. Inform the patient to notify you immediately if they experience any adverse symptoms</w:t>
            </w:r>
          </w:p>
          <w:p w:rsidR="00B63726" w:rsidRPr="00EA0894" w:rsidRDefault="00B63726" w:rsidP="00930746">
            <w:pPr>
              <w:pStyle w:val="Default"/>
              <w:spacing w:after="13"/>
              <w:rPr>
                <w:sz w:val="20"/>
                <w:szCs w:val="20"/>
              </w:rPr>
            </w:pPr>
            <w:r w:rsidRPr="00EA0894">
              <w:rPr>
                <w:sz w:val="20"/>
                <w:szCs w:val="20"/>
              </w:rPr>
              <w:t xml:space="preserve">5. </w:t>
            </w:r>
            <w:r w:rsidR="001475C9">
              <w:rPr>
                <w:sz w:val="20"/>
                <w:szCs w:val="20"/>
              </w:rPr>
              <w:t>Ask the patient to report</w:t>
            </w:r>
            <w:r w:rsidR="001475C9" w:rsidRPr="001475C9">
              <w:rPr>
                <w:sz w:val="20"/>
                <w:szCs w:val="20"/>
              </w:rPr>
              <w:t xml:space="preserve"> any symptoms </w:t>
            </w:r>
            <w:r w:rsidR="001475C9">
              <w:rPr>
                <w:sz w:val="20"/>
                <w:szCs w:val="20"/>
              </w:rPr>
              <w:t>&amp; m</w:t>
            </w:r>
            <w:r w:rsidRPr="00EA0894">
              <w:rPr>
                <w:sz w:val="20"/>
                <w:szCs w:val="20"/>
              </w:rPr>
              <w:t>easure the patient’s observations (</w:t>
            </w:r>
            <w:r w:rsidR="00E92893">
              <w:rPr>
                <w:sz w:val="20"/>
                <w:szCs w:val="20"/>
              </w:rPr>
              <w:t xml:space="preserve">BP, pulse, Sp02, </w:t>
            </w:r>
            <w:r w:rsidRPr="00EA0894">
              <w:rPr>
                <w:sz w:val="20"/>
                <w:szCs w:val="20"/>
              </w:rPr>
              <w:t>and PEFR if indicated) and at regular intervals e.g. at, 20 minutes, 40 minutes and 60 minutes</w:t>
            </w:r>
            <w:r w:rsidR="00E92893">
              <w:rPr>
                <w:sz w:val="20"/>
                <w:szCs w:val="20"/>
              </w:rPr>
              <w:t xml:space="preserve"> and document.</w:t>
            </w:r>
          </w:p>
          <w:p w:rsidR="00B63726" w:rsidRPr="00EA0894" w:rsidRDefault="00B63726" w:rsidP="00930746">
            <w:pPr>
              <w:pStyle w:val="Default"/>
              <w:spacing w:after="13"/>
              <w:rPr>
                <w:sz w:val="20"/>
                <w:szCs w:val="20"/>
              </w:rPr>
            </w:pPr>
            <w:r w:rsidRPr="00EA0894">
              <w:rPr>
                <w:sz w:val="20"/>
                <w:szCs w:val="20"/>
              </w:rPr>
              <w:t xml:space="preserve">6. Record any symptoms that the patient experiences. </w:t>
            </w:r>
          </w:p>
          <w:p w:rsidR="006A03D8" w:rsidRDefault="00B63726" w:rsidP="00930746">
            <w:pPr>
              <w:pStyle w:val="Default"/>
              <w:rPr>
                <w:sz w:val="20"/>
                <w:szCs w:val="20"/>
              </w:rPr>
            </w:pPr>
            <w:r w:rsidRPr="00EA0894">
              <w:rPr>
                <w:sz w:val="20"/>
                <w:szCs w:val="20"/>
              </w:rPr>
              <w:t>7. If the patient reports any of the symptoms of a positive test (see box) or they have a rising NEWS score then the patient should be reviewed immediately by an appropriate senior member of staff.</w:t>
            </w:r>
          </w:p>
          <w:p w:rsidR="005E1F08" w:rsidRPr="005E1F08" w:rsidRDefault="005E1F08" w:rsidP="005E1F08"/>
          <w:p w:rsidR="005E1F08" w:rsidRPr="005E1F08" w:rsidRDefault="005E1F08" w:rsidP="005E1F08"/>
          <w:p w:rsidR="005E1F08" w:rsidRPr="005E1F08" w:rsidRDefault="005E1F08" w:rsidP="005E1F08"/>
          <w:p w:rsidR="005E1F08" w:rsidRPr="005E1F08" w:rsidRDefault="005E1F08" w:rsidP="005E1F08"/>
          <w:p w:rsidR="005E1F08" w:rsidRPr="005E1F08" w:rsidRDefault="005E1F08" w:rsidP="005E1F08"/>
          <w:p w:rsidR="005E1F08" w:rsidRDefault="005E1F08" w:rsidP="005E1F08">
            <w:pPr>
              <w:rPr>
                <w:rFonts w:ascii="Calibri" w:hAnsi="Calibri" w:cs="Calibri"/>
                <w:color w:val="000000"/>
                <w:sz w:val="20"/>
                <w:szCs w:val="20"/>
              </w:rPr>
            </w:pPr>
          </w:p>
          <w:p w:rsidR="005E1F08" w:rsidRPr="005E1F08" w:rsidRDefault="005E1F08" w:rsidP="005E1F08"/>
          <w:p w:rsidR="005E1F08" w:rsidRPr="005E1F08" w:rsidRDefault="005E1F08" w:rsidP="005E1F08"/>
          <w:p w:rsidR="005E1F08" w:rsidRDefault="005E1F08" w:rsidP="005E1F08">
            <w:pPr>
              <w:rPr>
                <w:rFonts w:ascii="Calibri" w:hAnsi="Calibri" w:cs="Calibri"/>
                <w:color w:val="000000"/>
                <w:sz w:val="20"/>
                <w:szCs w:val="20"/>
              </w:rPr>
            </w:pPr>
          </w:p>
          <w:p w:rsidR="005E1F08" w:rsidRDefault="005E1F08" w:rsidP="005E1F08">
            <w:pPr>
              <w:rPr>
                <w:rFonts w:ascii="Calibri" w:hAnsi="Calibri" w:cs="Calibri"/>
                <w:color w:val="000000"/>
                <w:sz w:val="20"/>
                <w:szCs w:val="20"/>
              </w:rPr>
            </w:pPr>
          </w:p>
          <w:p w:rsidR="005E1F08" w:rsidRPr="005E1F08" w:rsidRDefault="005E1F08" w:rsidP="005E1F08">
            <w:pPr>
              <w:tabs>
                <w:tab w:val="left" w:pos="1230"/>
              </w:tabs>
            </w:pPr>
            <w:r>
              <w:lastRenderedPageBreak/>
              <w:tab/>
            </w:r>
          </w:p>
        </w:tc>
        <w:tc>
          <w:tcPr>
            <w:tcW w:w="283" w:type="dxa"/>
            <w:vMerge w:val="restart"/>
            <w:shd w:val="clear" w:color="auto" w:fill="D9D9D9" w:themeFill="background1" w:themeFillShade="D9"/>
          </w:tcPr>
          <w:p w:rsidR="00B63726" w:rsidRPr="00930746" w:rsidRDefault="00B63726" w:rsidP="00930746">
            <w:pPr>
              <w:rPr>
                <w:sz w:val="20"/>
                <w:szCs w:val="20"/>
              </w:rPr>
            </w:pPr>
          </w:p>
        </w:tc>
        <w:tc>
          <w:tcPr>
            <w:tcW w:w="4536" w:type="dxa"/>
          </w:tcPr>
          <w:p w:rsidR="00B63726" w:rsidRPr="00B63726" w:rsidRDefault="00B63726" w:rsidP="00B63726">
            <w:pPr>
              <w:jc w:val="center"/>
              <w:rPr>
                <w:sz w:val="20"/>
                <w:szCs w:val="20"/>
              </w:rPr>
            </w:pPr>
            <w:r w:rsidRPr="00B63726">
              <w:rPr>
                <w:b/>
                <w:sz w:val="20"/>
                <w:szCs w:val="20"/>
              </w:rPr>
              <w:t>Interpretation of Oral Challenge</w:t>
            </w:r>
          </w:p>
        </w:tc>
      </w:tr>
      <w:tr w:rsidR="00B63726" w:rsidRPr="00930746" w:rsidTr="00B92F17">
        <w:trPr>
          <w:trHeight w:val="1605"/>
        </w:trPr>
        <w:tc>
          <w:tcPr>
            <w:tcW w:w="5104" w:type="dxa"/>
            <w:vMerge/>
          </w:tcPr>
          <w:p w:rsidR="00B63726" w:rsidRPr="00EA0894" w:rsidRDefault="00B63726" w:rsidP="00930746">
            <w:pPr>
              <w:pStyle w:val="Default"/>
              <w:rPr>
                <w:b/>
                <w:bCs/>
                <w:sz w:val="20"/>
                <w:szCs w:val="20"/>
              </w:rPr>
            </w:pPr>
          </w:p>
        </w:tc>
        <w:tc>
          <w:tcPr>
            <w:tcW w:w="283" w:type="dxa"/>
            <w:vMerge/>
            <w:shd w:val="clear" w:color="auto" w:fill="D9D9D9" w:themeFill="background1" w:themeFillShade="D9"/>
          </w:tcPr>
          <w:p w:rsidR="00B63726" w:rsidRPr="00930746" w:rsidRDefault="00B63726" w:rsidP="00930746">
            <w:pPr>
              <w:rPr>
                <w:sz w:val="20"/>
                <w:szCs w:val="20"/>
              </w:rPr>
            </w:pPr>
          </w:p>
        </w:tc>
        <w:tc>
          <w:tcPr>
            <w:tcW w:w="4536" w:type="dxa"/>
            <w:shd w:val="clear" w:color="auto" w:fill="00B050"/>
          </w:tcPr>
          <w:p w:rsidR="00B63726" w:rsidRPr="00EA0894" w:rsidRDefault="00B63726" w:rsidP="00B63726">
            <w:pPr>
              <w:jc w:val="center"/>
              <w:rPr>
                <w:b/>
              </w:rPr>
            </w:pPr>
            <w:r w:rsidRPr="00EA0894">
              <w:rPr>
                <w:b/>
              </w:rPr>
              <w:t>Negative Test</w:t>
            </w:r>
          </w:p>
          <w:p w:rsidR="00B63726" w:rsidRPr="00EA0894" w:rsidRDefault="00B63726" w:rsidP="00B63726">
            <w:pPr>
              <w:rPr>
                <w:b/>
              </w:rPr>
            </w:pPr>
            <w:r w:rsidRPr="00EA0894">
              <w:t>No symptoms reported during the period of observation and patient’s NEWS score does not rise. Patient experiences isolated nausea or isolated itch without any of the other features of a positive test.</w:t>
            </w:r>
          </w:p>
        </w:tc>
      </w:tr>
      <w:tr w:rsidR="00B63726" w:rsidRPr="00930746" w:rsidTr="00B92F17">
        <w:trPr>
          <w:trHeight w:val="1275"/>
        </w:trPr>
        <w:tc>
          <w:tcPr>
            <w:tcW w:w="5104" w:type="dxa"/>
            <w:vMerge/>
          </w:tcPr>
          <w:p w:rsidR="00B63726" w:rsidRPr="00EA0894" w:rsidRDefault="00B63726" w:rsidP="00930746">
            <w:pPr>
              <w:pStyle w:val="Default"/>
              <w:rPr>
                <w:b/>
                <w:bCs/>
                <w:sz w:val="20"/>
                <w:szCs w:val="20"/>
              </w:rPr>
            </w:pPr>
          </w:p>
        </w:tc>
        <w:tc>
          <w:tcPr>
            <w:tcW w:w="283" w:type="dxa"/>
            <w:vMerge/>
            <w:shd w:val="clear" w:color="auto" w:fill="D9D9D9" w:themeFill="background1" w:themeFillShade="D9"/>
          </w:tcPr>
          <w:p w:rsidR="00B63726" w:rsidRPr="00930746" w:rsidRDefault="00B63726" w:rsidP="00930746">
            <w:pPr>
              <w:rPr>
                <w:sz w:val="20"/>
                <w:szCs w:val="20"/>
              </w:rPr>
            </w:pPr>
          </w:p>
        </w:tc>
        <w:tc>
          <w:tcPr>
            <w:tcW w:w="4536" w:type="dxa"/>
            <w:shd w:val="clear" w:color="auto" w:fill="FFFF00"/>
          </w:tcPr>
          <w:p w:rsidR="00B63726" w:rsidRPr="00EA0894" w:rsidRDefault="00B63726" w:rsidP="00B63726">
            <w:pPr>
              <w:jc w:val="center"/>
              <w:rPr>
                <w:b/>
              </w:rPr>
            </w:pPr>
            <w:r w:rsidRPr="00EA0894">
              <w:rPr>
                <w:b/>
              </w:rPr>
              <w:t>Equivocal test</w:t>
            </w:r>
          </w:p>
          <w:p w:rsidR="00B63726" w:rsidRPr="00EA0894" w:rsidRDefault="00B63726" w:rsidP="00B63726">
            <w:pPr>
              <w:rPr>
                <w:b/>
              </w:rPr>
            </w:pPr>
            <w:r w:rsidRPr="00EA0894">
              <w:t>If there is doubt about the interpretation of the test then it should be discussed with a senior clinician and referral to a local allergy service (if available) should be considered</w:t>
            </w:r>
          </w:p>
        </w:tc>
      </w:tr>
      <w:tr w:rsidR="00B63726" w:rsidRPr="00930746" w:rsidTr="00B92F17">
        <w:trPr>
          <w:trHeight w:val="1275"/>
        </w:trPr>
        <w:tc>
          <w:tcPr>
            <w:tcW w:w="5104" w:type="dxa"/>
            <w:vMerge/>
          </w:tcPr>
          <w:p w:rsidR="00B63726" w:rsidRPr="00EA0894" w:rsidRDefault="00B63726" w:rsidP="00930746">
            <w:pPr>
              <w:pStyle w:val="Default"/>
              <w:rPr>
                <w:b/>
                <w:bCs/>
                <w:sz w:val="20"/>
                <w:szCs w:val="20"/>
              </w:rPr>
            </w:pPr>
          </w:p>
        </w:tc>
        <w:tc>
          <w:tcPr>
            <w:tcW w:w="283" w:type="dxa"/>
            <w:vMerge/>
            <w:shd w:val="clear" w:color="auto" w:fill="D9D9D9" w:themeFill="background1" w:themeFillShade="D9"/>
          </w:tcPr>
          <w:p w:rsidR="00B63726" w:rsidRPr="00930746" w:rsidRDefault="00B63726" w:rsidP="00930746">
            <w:pPr>
              <w:rPr>
                <w:sz w:val="20"/>
                <w:szCs w:val="20"/>
              </w:rPr>
            </w:pPr>
          </w:p>
        </w:tc>
        <w:tc>
          <w:tcPr>
            <w:tcW w:w="4536" w:type="dxa"/>
            <w:shd w:val="clear" w:color="auto" w:fill="FF0000"/>
          </w:tcPr>
          <w:p w:rsidR="00B63726" w:rsidRPr="00EA0894" w:rsidRDefault="00B63726" w:rsidP="00B63726">
            <w:pPr>
              <w:jc w:val="center"/>
              <w:rPr>
                <w:b/>
                <w:color w:val="FFFFFF" w:themeColor="background1"/>
              </w:rPr>
            </w:pPr>
            <w:r w:rsidRPr="00EA0894">
              <w:rPr>
                <w:b/>
                <w:color w:val="FFFFFF" w:themeColor="background1"/>
              </w:rPr>
              <w:t>Positive Test</w:t>
            </w:r>
          </w:p>
          <w:p w:rsidR="00B63726" w:rsidRDefault="00B63726" w:rsidP="00B63726">
            <w:pPr>
              <w:rPr>
                <w:color w:val="FFFFFF" w:themeColor="background1"/>
              </w:rPr>
            </w:pPr>
            <w:r w:rsidRPr="00EA0894">
              <w:rPr>
                <w:color w:val="FFFFFF" w:themeColor="background1"/>
              </w:rPr>
              <w:t>Patient experiences any of the following: itchy rash, breathing difficulties, facial swelling, hypotension</w:t>
            </w:r>
            <w:r w:rsidR="004C74B2">
              <w:rPr>
                <w:color w:val="FFFFFF" w:themeColor="background1"/>
              </w:rPr>
              <w:t xml:space="preserve">, collapse, </w:t>
            </w:r>
            <w:r w:rsidR="00FF3D95">
              <w:rPr>
                <w:color w:val="FFFFFF" w:themeColor="background1"/>
              </w:rPr>
              <w:t>tongue swelling</w:t>
            </w:r>
            <w:proofErr w:type="gramStart"/>
            <w:r w:rsidR="00FF3D95">
              <w:rPr>
                <w:color w:val="FFFFFF" w:themeColor="background1"/>
              </w:rPr>
              <w:t>…..</w:t>
            </w:r>
            <w:proofErr w:type="gramEnd"/>
            <w:r w:rsidRPr="00EA0894">
              <w:rPr>
                <w:color w:val="FFFFFF" w:themeColor="background1"/>
              </w:rPr>
              <w:t xml:space="preserve"> </w:t>
            </w:r>
          </w:p>
          <w:p w:rsidR="006A03D8" w:rsidRPr="00EA0894" w:rsidRDefault="006A03D8" w:rsidP="00B63726">
            <w:pPr>
              <w:rPr>
                <w:b/>
              </w:rPr>
            </w:pPr>
          </w:p>
        </w:tc>
      </w:tr>
      <w:tr w:rsidR="00930746" w:rsidRPr="00930746" w:rsidTr="00B92F17">
        <w:trPr>
          <w:trHeight w:val="3146"/>
        </w:trPr>
        <w:tc>
          <w:tcPr>
            <w:tcW w:w="5104" w:type="dxa"/>
          </w:tcPr>
          <w:p w:rsidR="00930746" w:rsidRPr="00EA0894" w:rsidRDefault="00930746" w:rsidP="00930746">
            <w:pPr>
              <w:pStyle w:val="Default"/>
              <w:rPr>
                <w:sz w:val="20"/>
                <w:szCs w:val="20"/>
              </w:rPr>
            </w:pPr>
            <w:r w:rsidRPr="00EA0894">
              <w:rPr>
                <w:b/>
                <w:bCs/>
                <w:sz w:val="20"/>
                <w:szCs w:val="20"/>
              </w:rPr>
              <w:t>Post-procedure care</w:t>
            </w:r>
          </w:p>
          <w:p w:rsidR="00930746" w:rsidRPr="00EA0894" w:rsidRDefault="00930746" w:rsidP="00930746">
            <w:pPr>
              <w:pStyle w:val="Default"/>
              <w:spacing w:after="13"/>
              <w:rPr>
                <w:sz w:val="20"/>
                <w:szCs w:val="20"/>
              </w:rPr>
            </w:pPr>
            <w:r w:rsidRPr="00EA0894">
              <w:rPr>
                <w:sz w:val="20"/>
                <w:szCs w:val="20"/>
              </w:rPr>
              <w:t>1.</w:t>
            </w:r>
            <w:r w:rsidR="00B63726" w:rsidRPr="00EA0894">
              <w:rPr>
                <w:sz w:val="20"/>
                <w:szCs w:val="20"/>
              </w:rPr>
              <w:t xml:space="preserve"> </w:t>
            </w:r>
            <w:r w:rsidRPr="00EA0894">
              <w:rPr>
                <w:sz w:val="20"/>
                <w:szCs w:val="20"/>
              </w:rPr>
              <w:t>Interpret the oral challenge as shown in the box.</w:t>
            </w:r>
          </w:p>
          <w:p w:rsidR="00930746" w:rsidRDefault="00930746" w:rsidP="00930746">
            <w:pPr>
              <w:pStyle w:val="Default"/>
              <w:spacing w:after="13"/>
              <w:rPr>
                <w:sz w:val="20"/>
                <w:szCs w:val="20"/>
              </w:rPr>
            </w:pPr>
            <w:r w:rsidRPr="00EA0894">
              <w:rPr>
                <w:sz w:val="20"/>
                <w:szCs w:val="20"/>
              </w:rPr>
              <w:t>2.If the challenge is negative give the patient the patient information leaflet, record in the discharge letter and ask the patient’s GP to amend their allergy status on the practice records</w:t>
            </w:r>
          </w:p>
          <w:p w:rsidR="00A942AA" w:rsidRPr="00EA0894" w:rsidRDefault="00A942AA" w:rsidP="00930746">
            <w:pPr>
              <w:pStyle w:val="Default"/>
              <w:spacing w:after="13"/>
              <w:rPr>
                <w:sz w:val="20"/>
                <w:szCs w:val="20"/>
              </w:rPr>
            </w:pPr>
            <w:r>
              <w:rPr>
                <w:sz w:val="20"/>
                <w:szCs w:val="20"/>
              </w:rPr>
              <w:t xml:space="preserve">3. </w:t>
            </w:r>
            <w:r w:rsidRPr="00A942AA">
              <w:rPr>
                <w:sz w:val="20"/>
                <w:szCs w:val="20"/>
              </w:rPr>
              <w:t>In case of late phase response, the patient must be instructed to call 111 or visit their local Emergency Department should they develop symptoms of dyspnoea, wheezing, dizziness or severe pruritus.</w:t>
            </w:r>
          </w:p>
          <w:p w:rsidR="00930746" w:rsidRPr="00EA0894" w:rsidRDefault="00A942AA" w:rsidP="00930746">
            <w:pPr>
              <w:pStyle w:val="Default"/>
              <w:rPr>
                <w:sz w:val="20"/>
                <w:szCs w:val="20"/>
              </w:rPr>
            </w:pPr>
            <w:r>
              <w:rPr>
                <w:sz w:val="20"/>
                <w:szCs w:val="20"/>
              </w:rPr>
              <w:t>4</w:t>
            </w:r>
            <w:r w:rsidR="00930746" w:rsidRPr="00EA0894">
              <w:rPr>
                <w:sz w:val="20"/>
                <w:szCs w:val="20"/>
              </w:rPr>
              <w:t>.</w:t>
            </w:r>
            <w:r w:rsidR="00B63726" w:rsidRPr="00EA0894">
              <w:rPr>
                <w:sz w:val="20"/>
                <w:szCs w:val="20"/>
              </w:rPr>
              <w:t xml:space="preserve"> </w:t>
            </w:r>
            <w:r w:rsidR="00930746" w:rsidRPr="00EA0894">
              <w:rPr>
                <w:sz w:val="20"/>
                <w:szCs w:val="20"/>
              </w:rPr>
              <w:t>If the challenge outcome is positive written and electronic record must clearly state this. The patient should be provided with the information leaflet and the GP informed of this outcome</w:t>
            </w:r>
          </w:p>
        </w:tc>
        <w:tc>
          <w:tcPr>
            <w:tcW w:w="283" w:type="dxa"/>
            <w:shd w:val="clear" w:color="auto" w:fill="D9D9D9" w:themeFill="background1" w:themeFillShade="D9"/>
          </w:tcPr>
          <w:p w:rsidR="00930746" w:rsidRPr="00930746" w:rsidRDefault="00930746" w:rsidP="00930746">
            <w:pPr>
              <w:rPr>
                <w:sz w:val="20"/>
                <w:szCs w:val="20"/>
              </w:rPr>
            </w:pPr>
          </w:p>
        </w:tc>
        <w:tc>
          <w:tcPr>
            <w:tcW w:w="4536" w:type="dxa"/>
          </w:tcPr>
          <w:p w:rsidR="00B63726" w:rsidRPr="00B63726" w:rsidRDefault="00B63726" w:rsidP="00B63726">
            <w:pPr>
              <w:jc w:val="center"/>
              <w:rPr>
                <w:b/>
                <w:sz w:val="20"/>
                <w:szCs w:val="20"/>
              </w:rPr>
            </w:pPr>
            <w:r w:rsidRPr="00B63726">
              <w:rPr>
                <w:b/>
                <w:sz w:val="20"/>
                <w:szCs w:val="20"/>
              </w:rPr>
              <w:t>Management of Reactions</w:t>
            </w:r>
          </w:p>
          <w:p w:rsidR="00B63726" w:rsidRPr="00EA0894" w:rsidRDefault="00B63726" w:rsidP="00B63726">
            <w:pPr>
              <w:rPr>
                <w:rFonts w:ascii="Calibri" w:hAnsi="Calibri" w:cs="Calibri"/>
                <w:color w:val="000000"/>
                <w:sz w:val="20"/>
                <w:szCs w:val="20"/>
              </w:rPr>
            </w:pPr>
            <w:r w:rsidRPr="00EA0894">
              <w:rPr>
                <w:rFonts w:ascii="Calibri" w:hAnsi="Calibri" w:cs="Calibri"/>
                <w:color w:val="000000"/>
                <w:sz w:val="20"/>
                <w:szCs w:val="20"/>
              </w:rPr>
              <w:t>If severe symptoms hypotension or breathing difficulties institute immediate management of anaphylaxis, call for senior medical review and consider contacting cardiac arrest team via ‘2222’</w:t>
            </w:r>
          </w:p>
          <w:p w:rsidR="00B63726" w:rsidRPr="00EA0894" w:rsidRDefault="00B63726" w:rsidP="00B63726">
            <w:pPr>
              <w:rPr>
                <w:rFonts w:ascii="Calibri" w:hAnsi="Calibri" w:cs="Calibri"/>
                <w:color w:val="000000"/>
                <w:sz w:val="20"/>
                <w:szCs w:val="20"/>
              </w:rPr>
            </w:pPr>
          </w:p>
          <w:p w:rsidR="00930746" w:rsidRPr="00930746" w:rsidRDefault="00B63726" w:rsidP="00B63726">
            <w:pPr>
              <w:rPr>
                <w:sz w:val="20"/>
                <w:szCs w:val="20"/>
              </w:rPr>
            </w:pPr>
            <w:r w:rsidRPr="00EA0894">
              <w:rPr>
                <w:rFonts w:ascii="Calibri" w:hAnsi="Calibri" w:cs="Calibri"/>
                <w:color w:val="000000"/>
                <w:sz w:val="20"/>
                <w:szCs w:val="20"/>
              </w:rPr>
              <w:t>If mild symptoms - isolated rash and NEWS score not elevated then give antihistamine (i.e. 10mg cetirizine</w:t>
            </w:r>
            <w:r w:rsidR="001475C9">
              <w:rPr>
                <w:rFonts w:ascii="Calibri" w:hAnsi="Calibri" w:cs="Calibri"/>
                <w:color w:val="000000"/>
                <w:sz w:val="20"/>
                <w:szCs w:val="20"/>
              </w:rPr>
              <w:t>)</w:t>
            </w:r>
            <w:r w:rsidRPr="00EA0894">
              <w:rPr>
                <w:rFonts w:ascii="Calibri" w:hAnsi="Calibri" w:cs="Calibri"/>
                <w:color w:val="000000"/>
                <w:sz w:val="20"/>
                <w:szCs w:val="20"/>
              </w:rPr>
              <w:t xml:space="preserve"> </w:t>
            </w:r>
          </w:p>
        </w:tc>
      </w:tr>
    </w:tbl>
    <w:p w:rsidR="00A942AA" w:rsidRPr="00A942AA" w:rsidRDefault="00A942AA" w:rsidP="00A942AA">
      <w:pPr>
        <w:rPr>
          <w:sz w:val="20"/>
          <w:szCs w:val="20"/>
        </w:rPr>
      </w:pPr>
      <w:r w:rsidRPr="00A942AA">
        <w:rPr>
          <w:sz w:val="20"/>
          <w:szCs w:val="20"/>
        </w:rPr>
        <w:t>Signs &amp; Symptoms of allergic reactions in various target organs.</w:t>
      </w:r>
      <w:r w:rsidR="00986B77" w:rsidRPr="00986B77">
        <w:rPr>
          <w:sz w:val="20"/>
          <w:szCs w:val="20"/>
        </w:rPr>
        <w:t xml:space="preserve"> (Used with permission from the ALABAMA study Team</w:t>
      </w:r>
      <w:r w:rsidR="00986B77">
        <w:rPr>
          <w:sz w:val="20"/>
          <w:szCs w:val="20"/>
        </w:rPr>
        <w:t>)</w:t>
      </w:r>
    </w:p>
    <w:p w:rsidR="00A942AA" w:rsidRPr="004D4BB3" w:rsidRDefault="004D4BB3" w:rsidP="00A942AA">
      <w:pPr>
        <w:rPr>
          <w:b/>
          <w:bCs/>
          <w:sz w:val="20"/>
          <w:szCs w:val="20"/>
        </w:rPr>
      </w:pPr>
      <w:r w:rsidRPr="004D4BB3">
        <w:rPr>
          <w:b/>
          <w:bCs/>
          <w:sz w:val="20"/>
          <w:szCs w:val="20"/>
        </w:rPr>
        <w:t>Signs and symptoms of potential allergy</w:t>
      </w:r>
    </w:p>
    <w:p w:rsidR="00A942AA" w:rsidRPr="00A942AA" w:rsidRDefault="00A942AA" w:rsidP="00A942AA">
      <w:pPr>
        <w:rPr>
          <w:sz w:val="20"/>
          <w:szCs w:val="20"/>
        </w:rPr>
      </w:pPr>
      <w:r w:rsidRPr="00A942AA">
        <w:rPr>
          <w:sz w:val="20"/>
          <w:szCs w:val="20"/>
        </w:rPr>
        <w:t xml:space="preserve">Skin:                               </w:t>
      </w:r>
      <w:r w:rsidR="00CA64E1">
        <w:rPr>
          <w:sz w:val="20"/>
          <w:szCs w:val="20"/>
        </w:rPr>
        <w:t xml:space="preserve"> </w:t>
      </w:r>
      <w:r w:rsidRPr="00A942AA">
        <w:rPr>
          <w:sz w:val="20"/>
          <w:szCs w:val="20"/>
        </w:rPr>
        <w:t xml:space="preserve">       Urticaria/Angioedema</w:t>
      </w:r>
    </w:p>
    <w:p w:rsidR="00A942AA" w:rsidRPr="00A942AA" w:rsidRDefault="00A942AA" w:rsidP="00A942AA">
      <w:pPr>
        <w:rPr>
          <w:sz w:val="20"/>
          <w:szCs w:val="20"/>
        </w:rPr>
      </w:pPr>
      <w:r w:rsidRPr="00A942AA">
        <w:rPr>
          <w:sz w:val="20"/>
          <w:szCs w:val="20"/>
        </w:rPr>
        <w:t xml:space="preserve">                                                Flushing</w:t>
      </w:r>
    </w:p>
    <w:p w:rsidR="00A942AA" w:rsidRPr="00A942AA" w:rsidRDefault="00A942AA" w:rsidP="00A942AA">
      <w:pPr>
        <w:rPr>
          <w:sz w:val="20"/>
          <w:szCs w:val="20"/>
        </w:rPr>
      </w:pPr>
      <w:r w:rsidRPr="00A942AA">
        <w:rPr>
          <w:sz w:val="20"/>
          <w:szCs w:val="20"/>
        </w:rPr>
        <w:t xml:space="preserve">                                                Erythematous pruritic rash</w:t>
      </w:r>
    </w:p>
    <w:p w:rsidR="00A942AA" w:rsidRPr="00A942AA" w:rsidRDefault="00A942AA" w:rsidP="00A942AA">
      <w:pPr>
        <w:rPr>
          <w:sz w:val="20"/>
          <w:szCs w:val="20"/>
        </w:rPr>
      </w:pPr>
      <w:r w:rsidRPr="00A942AA">
        <w:rPr>
          <w:sz w:val="20"/>
          <w:szCs w:val="20"/>
        </w:rPr>
        <w:t xml:space="preserve">                                                Atopic dermatitis</w:t>
      </w:r>
    </w:p>
    <w:p w:rsidR="00A942AA" w:rsidRPr="00A942AA" w:rsidRDefault="00A942AA" w:rsidP="00A942AA">
      <w:pPr>
        <w:rPr>
          <w:sz w:val="20"/>
          <w:szCs w:val="20"/>
        </w:rPr>
      </w:pPr>
      <w:r w:rsidRPr="00A942AA">
        <w:rPr>
          <w:sz w:val="20"/>
          <w:szCs w:val="20"/>
        </w:rPr>
        <w:t xml:space="preserve">Gastro-intestinal tract:     </w:t>
      </w:r>
      <w:r w:rsidR="00CA64E1">
        <w:rPr>
          <w:sz w:val="20"/>
          <w:szCs w:val="20"/>
        </w:rPr>
        <w:t xml:space="preserve"> </w:t>
      </w:r>
      <w:r w:rsidRPr="00A942AA">
        <w:rPr>
          <w:sz w:val="20"/>
          <w:szCs w:val="20"/>
        </w:rPr>
        <w:t>Pruritis and /or swelling of the lips, tongue or oral mucosa</w:t>
      </w:r>
    </w:p>
    <w:p w:rsidR="00A942AA" w:rsidRPr="00A942AA" w:rsidRDefault="00A942AA" w:rsidP="00A942AA">
      <w:pPr>
        <w:rPr>
          <w:sz w:val="20"/>
          <w:szCs w:val="20"/>
        </w:rPr>
      </w:pPr>
      <w:r w:rsidRPr="00A942AA">
        <w:rPr>
          <w:sz w:val="20"/>
          <w:szCs w:val="20"/>
        </w:rPr>
        <w:t xml:space="preserve">                                                Nausea</w:t>
      </w:r>
    </w:p>
    <w:p w:rsidR="00A942AA" w:rsidRPr="00A942AA" w:rsidRDefault="00A942AA" w:rsidP="00A942AA">
      <w:pPr>
        <w:rPr>
          <w:sz w:val="20"/>
          <w:szCs w:val="20"/>
        </w:rPr>
      </w:pPr>
      <w:r w:rsidRPr="00A942AA">
        <w:rPr>
          <w:sz w:val="20"/>
          <w:szCs w:val="20"/>
        </w:rPr>
        <w:t xml:space="preserve">                                                Abdominal cramping or colic</w:t>
      </w:r>
    </w:p>
    <w:p w:rsidR="00A942AA" w:rsidRPr="00A942AA" w:rsidRDefault="00A942AA" w:rsidP="00A942AA">
      <w:pPr>
        <w:rPr>
          <w:sz w:val="20"/>
          <w:szCs w:val="20"/>
        </w:rPr>
      </w:pPr>
      <w:r w:rsidRPr="00A942AA">
        <w:rPr>
          <w:sz w:val="20"/>
          <w:szCs w:val="20"/>
        </w:rPr>
        <w:t xml:space="preserve">                                                Vomiting or reflux</w:t>
      </w:r>
    </w:p>
    <w:p w:rsidR="00A942AA" w:rsidRPr="00A942AA" w:rsidRDefault="00A942AA" w:rsidP="00A942AA">
      <w:pPr>
        <w:rPr>
          <w:sz w:val="20"/>
          <w:szCs w:val="20"/>
        </w:rPr>
      </w:pPr>
      <w:r w:rsidRPr="00A942AA">
        <w:rPr>
          <w:sz w:val="20"/>
          <w:szCs w:val="20"/>
        </w:rPr>
        <w:t xml:space="preserve">                                               </w:t>
      </w:r>
      <w:r w:rsidR="0042284F">
        <w:rPr>
          <w:sz w:val="20"/>
          <w:szCs w:val="20"/>
        </w:rPr>
        <w:t xml:space="preserve"> </w:t>
      </w:r>
      <w:r w:rsidRPr="00A942AA">
        <w:rPr>
          <w:sz w:val="20"/>
          <w:szCs w:val="20"/>
        </w:rPr>
        <w:t>Diarrhoea</w:t>
      </w:r>
    </w:p>
    <w:p w:rsidR="00A942AA" w:rsidRPr="00A942AA" w:rsidRDefault="00A942AA" w:rsidP="00A942AA">
      <w:pPr>
        <w:rPr>
          <w:sz w:val="20"/>
          <w:szCs w:val="20"/>
        </w:rPr>
      </w:pPr>
      <w:r w:rsidRPr="00A942AA">
        <w:rPr>
          <w:sz w:val="20"/>
          <w:szCs w:val="20"/>
        </w:rPr>
        <w:t xml:space="preserve">Respiratory tract:               </w:t>
      </w:r>
      <w:r w:rsidR="0042284F">
        <w:rPr>
          <w:sz w:val="20"/>
          <w:szCs w:val="20"/>
        </w:rPr>
        <w:t xml:space="preserve">  </w:t>
      </w:r>
      <w:r w:rsidRPr="00A942AA">
        <w:rPr>
          <w:sz w:val="20"/>
          <w:szCs w:val="20"/>
        </w:rPr>
        <w:t>Nasal congestion</w:t>
      </w:r>
    </w:p>
    <w:p w:rsidR="00A942AA" w:rsidRPr="00A942AA" w:rsidRDefault="00A942AA" w:rsidP="00A942AA">
      <w:pPr>
        <w:rPr>
          <w:sz w:val="20"/>
          <w:szCs w:val="20"/>
        </w:rPr>
      </w:pPr>
      <w:r w:rsidRPr="00A942AA">
        <w:rPr>
          <w:sz w:val="20"/>
          <w:szCs w:val="20"/>
        </w:rPr>
        <w:t xml:space="preserve">                                                Rhinorrhoea</w:t>
      </w:r>
    </w:p>
    <w:p w:rsidR="00A942AA" w:rsidRPr="00A942AA" w:rsidRDefault="00A942AA" w:rsidP="00A942AA">
      <w:pPr>
        <w:rPr>
          <w:sz w:val="20"/>
          <w:szCs w:val="20"/>
        </w:rPr>
      </w:pPr>
      <w:r w:rsidRPr="00A942AA">
        <w:rPr>
          <w:sz w:val="20"/>
          <w:szCs w:val="20"/>
        </w:rPr>
        <w:t xml:space="preserve">                                                Pruritis/sneezing</w:t>
      </w:r>
    </w:p>
    <w:p w:rsidR="00A942AA" w:rsidRPr="00A942AA" w:rsidRDefault="00A942AA" w:rsidP="00A942AA">
      <w:pPr>
        <w:rPr>
          <w:sz w:val="20"/>
          <w:szCs w:val="20"/>
        </w:rPr>
      </w:pPr>
      <w:r w:rsidRPr="00A942AA">
        <w:rPr>
          <w:sz w:val="20"/>
          <w:szCs w:val="20"/>
        </w:rPr>
        <w:t xml:space="preserve">                                                Laryngeal oedema, staccato cough and/or dysphonia</w:t>
      </w:r>
    </w:p>
    <w:p w:rsidR="00A942AA" w:rsidRDefault="00A942AA" w:rsidP="00A942AA">
      <w:pPr>
        <w:rPr>
          <w:sz w:val="20"/>
          <w:szCs w:val="20"/>
        </w:rPr>
      </w:pPr>
      <w:r w:rsidRPr="00A942AA">
        <w:rPr>
          <w:sz w:val="20"/>
          <w:szCs w:val="20"/>
        </w:rPr>
        <w:t xml:space="preserve">                                                Wheezing/ repetitive cough</w:t>
      </w:r>
    </w:p>
    <w:p w:rsidR="0042284F" w:rsidRPr="00A942AA" w:rsidRDefault="0042284F" w:rsidP="00A942AA">
      <w:pPr>
        <w:rPr>
          <w:sz w:val="20"/>
          <w:szCs w:val="20"/>
        </w:rPr>
      </w:pPr>
      <w:r>
        <w:rPr>
          <w:sz w:val="20"/>
          <w:szCs w:val="20"/>
        </w:rPr>
        <w:tab/>
      </w:r>
      <w:r>
        <w:rPr>
          <w:sz w:val="20"/>
          <w:szCs w:val="20"/>
        </w:rPr>
        <w:tab/>
      </w:r>
      <w:r>
        <w:rPr>
          <w:sz w:val="20"/>
          <w:szCs w:val="20"/>
        </w:rPr>
        <w:tab/>
        <w:t>D</w:t>
      </w:r>
      <w:r w:rsidRPr="0042284F">
        <w:rPr>
          <w:sz w:val="20"/>
          <w:szCs w:val="20"/>
        </w:rPr>
        <w:t>yspnoea</w:t>
      </w:r>
    </w:p>
    <w:p w:rsidR="00A942AA" w:rsidRPr="00A942AA" w:rsidRDefault="00A942AA" w:rsidP="00A942AA">
      <w:pPr>
        <w:rPr>
          <w:sz w:val="20"/>
          <w:szCs w:val="20"/>
        </w:rPr>
      </w:pPr>
      <w:r w:rsidRPr="00A942AA">
        <w:rPr>
          <w:sz w:val="20"/>
          <w:szCs w:val="20"/>
        </w:rPr>
        <w:lastRenderedPageBreak/>
        <w:t xml:space="preserve">Cardiovascular:                 </w:t>
      </w:r>
      <w:r w:rsidR="0042284F">
        <w:rPr>
          <w:sz w:val="20"/>
          <w:szCs w:val="20"/>
        </w:rPr>
        <w:t xml:space="preserve"> </w:t>
      </w:r>
      <w:r w:rsidRPr="00A942AA">
        <w:rPr>
          <w:sz w:val="20"/>
          <w:szCs w:val="20"/>
        </w:rPr>
        <w:t xml:space="preserve"> Hypotension/shock</w:t>
      </w:r>
    </w:p>
    <w:p w:rsidR="0071163C" w:rsidRDefault="00A942AA" w:rsidP="00A942AA">
      <w:pPr>
        <w:rPr>
          <w:sz w:val="20"/>
          <w:szCs w:val="20"/>
        </w:rPr>
      </w:pPr>
      <w:r w:rsidRPr="00A942AA">
        <w:rPr>
          <w:sz w:val="20"/>
          <w:szCs w:val="20"/>
        </w:rPr>
        <w:t xml:space="preserve">                                                Dizziness</w:t>
      </w:r>
    </w:p>
    <w:p w:rsidR="001475C9" w:rsidRDefault="001475C9" w:rsidP="00A942AA">
      <w:pPr>
        <w:rPr>
          <w:sz w:val="20"/>
          <w:szCs w:val="20"/>
        </w:rPr>
      </w:pPr>
    </w:p>
    <w:p w:rsidR="00986B77" w:rsidRPr="00A942AA" w:rsidRDefault="001475C9" w:rsidP="00986B77">
      <w:pPr>
        <w:rPr>
          <w:sz w:val="20"/>
          <w:szCs w:val="20"/>
        </w:rPr>
      </w:pPr>
      <w:r w:rsidRPr="004D4BB3">
        <w:rPr>
          <w:rFonts w:ascii="Arial" w:hAnsi="Arial" w:cs="Arial"/>
          <w:b/>
          <w:bCs/>
        </w:rPr>
        <w:t>Observational monitoring chart</w:t>
      </w:r>
      <w:r w:rsidR="00986B77">
        <w:rPr>
          <w:rFonts w:ascii="Arial" w:hAnsi="Arial" w:cs="Arial"/>
          <w:b/>
          <w:bCs/>
        </w:rPr>
        <w:t xml:space="preserve"> </w:t>
      </w:r>
      <w:r w:rsidR="00986B77" w:rsidRPr="00986B77">
        <w:rPr>
          <w:sz w:val="20"/>
          <w:szCs w:val="20"/>
        </w:rPr>
        <w:t>(Used with permission from the ALABAMA study Team</w:t>
      </w:r>
      <w:r w:rsidR="00986B77">
        <w:rPr>
          <w:sz w:val="20"/>
          <w:szCs w:val="20"/>
        </w:rPr>
        <w:t>)</w:t>
      </w:r>
    </w:p>
    <w:tbl>
      <w:tblPr>
        <w:tblW w:w="10196" w:type="dxa"/>
        <w:tblCellMar>
          <w:left w:w="0" w:type="dxa"/>
          <w:right w:w="0" w:type="dxa"/>
        </w:tblCellMar>
        <w:tblLook w:val="04A0" w:firstRow="1" w:lastRow="0" w:firstColumn="1" w:lastColumn="0" w:noHBand="0" w:noVBand="1"/>
      </w:tblPr>
      <w:tblGrid>
        <w:gridCol w:w="1120"/>
        <w:gridCol w:w="3436"/>
        <w:gridCol w:w="5640"/>
      </w:tblGrid>
      <w:tr w:rsidR="001475C9" w:rsidRPr="000F46A2" w:rsidTr="000F46A2">
        <w:tc>
          <w:tcPr>
            <w:tcW w:w="1120"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rsidR="001475C9" w:rsidRPr="000F46A2" w:rsidRDefault="001475C9">
            <w:pPr>
              <w:autoSpaceDE w:val="0"/>
              <w:autoSpaceDN w:val="0"/>
              <w:spacing w:line="360" w:lineRule="auto"/>
              <w:rPr>
                <w:rFonts w:ascii="Arial" w:hAnsi="Arial" w:cs="Arial"/>
                <w:b/>
                <w:bCs/>
                <w:sz w:val="16"/>
                <w:szCs w:val="16"/>
              </w:rPr>
            </w:pPr>
            <w:r w:rsidRPr="000F46A2">
              <w:rPr>
                <w:rFonts w:ascii="Arial" w:hAnsi="Arial" w:cs="Arial"/>
                <w:b/>
                <w:bCs/>
                <w:sz w:val="16"/>
                <w:szCs w:val="16"/>
              </w:rPr>
              <w:t>Date:</w:t>
            </w:r>
          </w:p>
        </w:tc>
        <w:tc>
          <w:tcPr>
            <w:tcW w:w="3436"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1475C9" w:rsidRPr="000F46A2" w:rsidRDefault="001475C9">
            <w:pPr>
              <w:autoSpaceDE w:val="0"/>
              <w:autoSpaceDN w:val="0"/>
              <w:spacing w:line="360" w:lineRule="auto"/>
              <w:rPr>
                <w:rFonts w:ascii="Arial" w:hAnsi="Arial" w:cs="Arial"/>
                <w:b/>
                <w:bCs/>
                <w:sz w:val="16"/>
                <w:szCs w:val="16"/>
              </w:rPr>
            </w:pPr>
            <w:r w:rsidRPr="000F46A2">
              <w:rPr>
                <w:rFonts w:ascii="Arial" w:hAnsi="Arial" w:cs="Arial"/>
                <w:b/>
                <w:bCs/>
                <w:sz w:val="16"/>
                <w:szCs w:val="16"/>
              </w:rPr>
              <w:t>Drug &amp;</w:t>
            </w:r>
            <w:r w:rsidR="000F46A2">
              <w:rPr>
                <w:rFonts w:ascii="Arial" w:hAnsi="Arial" w:cs="Arial"/>
                <w:b/>
                <w:bCs/>
                <w:sz w:val="16"/>
                <w:szCs w:val="16"/>
              </w:rPr>
              <w:t xml:space="preserve"> dose</w:t>
            </w:r>
            <w:r w:rsidRPr="000F46A2">
              <w:rPr>
                <w:rFonts w:ascii="Arial" w:hAnsi="Arial" w:cs="Arial"/>
                <w:b/>
                <w:bCs/>
                <w:sz w:val="16"/>
                <w:szCs w:val="16"/>
              </w:rPr>
              <w:t xml:space="preserve"> Tested:</w:t>
            </w:r>
          </w:p>
        </w:tc>
        <w:tc>
          <w:tcPr>
            <w:tcW w:w="56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75C9" w:rsidRPr="000F46A2" w:rsidRDefault="001475C9">
            <w:pPr>
              <w:autoSpaceDE w:val="0"/>
              <w:autoSpaceDN w:val="0"/>
              <w:spacing w:line="360" w:lineRule="auto"/>
              <w:rPr>
                <w:rFonts w:ascii="Arial" w:hAnsi="Arial" w:cs="Arial"/>
                <w:b/>
                <w:bCs/>
                <w:sz w:val="16"/>
                <w:szCs w:val="16"/>
              </w:rPr>
            </w:pPr>
            <w:r w:rsidRPr="000F46A2">
              <w:rPr>
                <w:rFonts w:ascii="Arial" w:hAnsi="Arial" w:cs="Arial"/>
                <w:b/>
                <w:bCs/>
                <w:sz w:val="16"/>
                <w:szCs w:val="16"/>
              </w:rPr>
              <w:t>Patient Name:</w:t>
            </w:r>
          </w:p>
        </w:tc>
      </w:tr>
      <w:tr w:rsidR="001475C9" w:rsidRPr="000F46A2" w:rsidTr="000F46A2">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c>
          <w:tcPr>
            <w:tcW w:w="3436"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c>
          <w:tcPr>
            <w:tcW w:w="5640" w:type="dxa"/>
            <w:tcBorders>
              <w:top w:val="nil"/>
              <w:left w:val="nil"/>
              <w:bottom w:val="single" w:sz="8" w:space="0" w:color="auto"/>
              <w:right w:val="single" w:sz="8" w:space="0" w:color="auto"/>
            </w:tcBorders>
            <w:tcMar>
              <w:top w:w="0" w:type="dxa"/>
              <w:left w:w="108" w:type="dxa"/>
              <w:bottom w:w="0" w:type="dxa"/>
              <w:right w:w="108" w:type="dxa"/>
            </w:tcMar>
            <w:hideMark/>
          </w:tcPr>
          <w:p w:rsidR="001475C9" w:rsidRPr="000F46A2" w:rsidRDefault="001475C9">
            <w:pPr>
              <w:autoSpaceDE w:val="0"/>
              <w:autoSpaceDN w:val="0"/>
              <w:spacing w:line="360" w:lineRule="auto"/>
              <w:rPr>
                <w:rFonts w:ascii="Arial" w:hAnsi="Arial" w:cs="Arial"/>
                <w:b/>
                <w:bCs/>
                <w:sz w:val="16"/>
                <w:szCs w:val="16"/>
              </w:rPr>
            </w:pPr>
            <w:r w:rsidRPr="000F46A2">
              <w:rPr>
                <w:rFonts w:ascii="Arial" w:hAnsi="Arial" w:cs="Arial"/>
                <w:b/>
                <w:bCs/>
                <w:sz w:val="16"/>
                <w:szCs w:val="16"/>
              </w:rPr>
              <w:t>NHS No</w:t>
            </w:r>
            <w:r w:rsidR="000F46A2">
              <w:rPr>
                <w:rFonts w:ascii="Arial" w:hAnsi="Arial" w:cs="Arial"/>
                <w:b/>
                <w:bCs/>
                <w:sz w:val="16"/>
                <w:szCs w:val="16"/>
              </w:rPr>
              <w:t xml:space="preserve"> / CR no.</w:t>
            </w:r>
            <w:r w:rsidRPr="000F46A2">
              <w:rPr>
                <w:rFonts w:ascii="Arial" w:hAnsi="Arial" w:cs="Arial"/>
                <w:b/>
                <w:bCs/>
                <w:sz w:val="16"/>
                <w:szCs w:val="16"/>
              </w:rPr>
              <w:t>:</w:t>
            </w:r>
          </w:p>
        </w:tc>
      </w:tr>
    </w:tbl>
    <w:p w:rsidR="001475C9" w:rsidRDefault="001475C9" w:rsidP="001475C9">
      <w:pPr>
        <w:autoSpaceDE w:val="0"/>
        <w:autoSpaceDN w:val="0"/>
        <w:spacing w:line="360" w:lineRule="auto"/>
        <w:rPr>
          <w:rFonts w:ascii="Arial" w:hAnsi="Arial" w:cs="Arial"/>
          <w:b/>
          <w:bCs/>
          <w:sz w:val="8"/>
          <w:szCs w:val="8"/>
          <w:lang w:eastAsia="en-GB"/>
        </w:rPr>
      </w:pPr>
    </w:p>
    <w:tbl>
      <w:tblPr>
        <w:tblW w:w="10196" w:type="dxa"/>
        <w:tblCellMar>
          <w:left w:w="0" w:type="dxa"/>
          <w:right w:w="0" w:type="dxa"/>
        </w:tblCellMar>
        <w:tblLook w:val="04A0" w:firstRow="1" w:lastRow="0" w:firstColumn="1" w:lastColumn="0" w:noHBand="0" w:noVBand="1"/>
      </w:tblPr>
      <w:tblGrid>
        <w:gridCol w:w="1101"/>
        <w:gridCol w:w="1843"/>
        <w:gridCol w:w="1419"/>
        <w:gridCol w:w="1135"/>
        <w:gridCol w:w="1135"/>
        <w:gridCol w:w="3563"/>
      </w:tblGrid>
      <w:tr w:rsidR="001475C9" w:rsidRPr="000F46A2" w:rsidTr="000F46A2">
        <w:trPr>
          <w:trHeight w:val="721"/>
        </w:trPr>
        <w:tc>
          <w:tcPr>
            <w:tcW w:w="1101"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1475C9" w:rsidRPr="000F46A2" w:rsidRDefault="001475C9">
            <w:pPr>
              <w:autoSpaceDE w:val="0"/>
              <w:autoSpaceDN w:val="0"/>
              <w:spacing w:line="360" w:lineRule="auto"/>
              <w:jc w:val="center"/>
              <w:rPr>
                <w:rFonts w:ascii="Arial" w:hAnsi="Arial" w:cs="Arial"/>
                <w:b/>
                <w:bCs/>
                <w:sz w:val="16"/>
                <w:szCs w:val="16"/>
              </w:rPr>
            </w:pPr>
            <w:r w:rsidRPr="000F46A2">
              <w:rPr>
                <w:rFonts w:ascii="Arial" w:hAnsi="Arial" w:cs="Arial"/>
                <w:b/>
                <w:bCs/>
                <w:sz w:val="16"/>
                <w:szCs w:val="16"/>
              </w:rPr>
              <w:t>Time</w:t>
            </w:r>
          </w:p>
        </w:tc>
        <w:tc>
          <w:tcPr>
            <w:tcW w:w="184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bottom"/>
            <w:hideMark/>
          </w:tcPr>
          <w:p w:rsidR="001475C9" w:rsidRPr="000F46A2" w:rsidRDefault="001475C9">
            <w:pPr>
              <w:autoSpaceDE w:val="0"/>
              <w:autoSpaceDN w:val="0"/>
              <w:spacing w:line="360" w:lineRule="auto"/>
              <w:jc w:val="center"/>
              <w:rPr>
                <w:rFonts w:ascii="Arial" w:hAnsi="Arial" w:cs="Arial"/>
                <w:b/>
                <w:bCs/>
                <w:sz w:val="16"/>
                <w:szCs w:val="16"/>
              </w:rPr>
            </w:pPr>
            <w:r w:rsidRPr="000F46A2">
              <w:rPr>
                <w:rFonts w:ascii="Arial" w:hAnsi="Arial" w:cs="Arial"/>
                <w:b/>
                <w:bCs/>
                <w:color w:val="000000"/>
                <w:sz w:val="16"/>
                <w:szCs w:val="16"/>
              </w:rPr>
              <w:t>Dose Administered</w:t>
            </w:r>
          </w:p>
        </w:tc>
        <w:tc>
          <w:tcPr>
            <w:tcW w:w="141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75C9" w:rsidRPr="000F46A2" w:rsidRDefault="001475C9">
            <w:pPr>
              <w:autoSpaceDE w:val="0"/>
              <w:autoSpaceDN w:val="0"/>
              <w:spacing w:line="360" w:lineRule="auto"/>
              <w:jc w:val="center"/>
              <w:rPr>
                <w:rFonts w:ascii="Arial" w:hAnsi="Arial" w:cs="Arial"/>
                <w:b/>
                <w:bCs/>
                <w:sz w:val="16"/>
                <w:szCs w:val="16"/>
              </w:rPr>
            </w:pPr>
            <w:r w:rsidRPr="000F46A2">
              <w:rPr>
                <w:rFonts w:ascii="Arial" w:hAnsi="Arial" w:cs="Arial"/>
                <w:b/>
                <w:bCs/>
                <w:color w:val="000000"/>
                <w:sz w:val="16"/>
                <w:szCs w:val="16"/>
              </w:rPr>
              <w:t>Blood Pressure</w:t>
            </w:r>
          </w:p>
        </w:tc>
        <w:tc>
          <w:tcPr>
            <w:tcW w:w="113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75C9" w:rsidRPr="000F46A2" w:rsidRDefault="001475C9">
            <w:pPr>
              <w:autoSpaceDE w:val="0"/>
              <w:autoSpaceDN w:val="0"/>
              <w:spacing w:line="360" w:lineRule="auto"/>
              <w:jc w:val="center"/>
              <w:rPr>
                <w:rFonts w:ascii="Arial" w:hAnsi="Arial" w:cs="Arial"/>
                <w:b/>
                <w:bCs/>
                <w:sz w:val="16"/>
                <w:szCs w:val="16"/>
              </w:rPr>
            </w:pPr>
            <w:r w:rsidRPr="000F46A2">
              <w:rPr>
                <w:rFonts w:ascii="Arial" w:hAnsi="Arial" w:cs="Arial"/>
                <w:b/>
                <w:bCs/>
                <w:color w:val="000000"/>
                <w:sz w:val="16"/>
                <w:szCs w:val="16"/>
              </w:rPr>
              <w:t>Pulse</w:t>
            </w:r>
          </w:p>
        </w:tc>
        <w:tc>
          <w:tcPr>
            <w:tcW w:w="113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75C9" w:rsidRPr="000F46A2" w:rsidRDefault="001475C9">
            <w:pPr>
              <w:autoSpaceDE w:val="0"/>
              <w:autoSpaceDN w:val="0"/>
              <w:spacing w:line="360" w:lineRule="auto"/>
              <w:jc w:val="center"/>
              <w:rPr>
                <w:rFonts w:ascii="Arial" w:hAnsi="Arial" w:cs="Arial"/>
                <w:b/>
                <w:bCs/>
                <w:sz w:val="16"/>
                <w:szCs w:val="16"/>
              </w:rPr>
            </w:pPr>
            <w:r w:rsidRPr="000F46A2">
              <w:rPr>
                <w:rFonts w:ascii="Arial" w:hAnsi="Arial" w:cs="Arial"/>
                <w:b/>
                <w:bCs/>
                <w:color w:val="000000"/>
                <w:sz w:val="16"/>
                <w:szCs w:val="16"/>
              </w:rPr>
              <w:t>Sp02</w:t>
            </w:r>
          </w:p>
        </w:tc>
        <w:tc>
          <w:tcPr>
            <w:tcW w:w="356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75C9" w:rsidRPr="000F46A2" w:rsidRDefault="001475C9">
            <w:pPr>
              <w:autoSpaceDE w:val="0"/>
              <w:autoSpaceDN w:val="0"/>
              <w:spacing w:line="360" w:lineRule="auto"/>
              <w:jc w:val="center"/>
              <w:rPr>
                <w:rFonts w:ascii="Arial" w:hAnsi="Arial" w:cs="Arial"/>
                <w:b/>
                <w:bCs/>
                <w:sz w:val="16"/>
                <w:szCs w:val="16"/>
              </w:rPr>
            </w:pPr>
            <w:r w:rsidRPr="000F46A2">
              <w:rPr>
                <w:rFonts w:ascii="Arial" w:hAnsi="Arial" w:cs="Arial"/>
                <w:b/>
                <w:bCs/>
                <w:color w:val="000000"/>
                <w:sz w:val="16"/>
                <w:szCs w:val="16"/>
              </w:rPr>
              <w:t>Symptoms/Reactions</w:t>
            </w:r>
          </w:p>
        </w:tc>
      </w:tr>
      <w:tr w:rsidR="001475C9" w:rsidRPr="000F46A2" w:rsidTr="000F46A2">
        <w:trPr>
          <w:trHeight w:val="85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c>
          <w:tcPr>
            <w:tcW w:w="1135"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c>
          <w:tcPr>
            <w:tcW w:w="1135"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c>
          <w:tcPr>
            <w:tcW w:w="3563"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r>
      <w:tr w:rsidR="001475C9" w:rsidRPr="000F46A2" w:rsidTr="000F46A2">
        <w:trPr>
          <w:trHeight w:val="85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c>
          <w:tcPr>
            <w:tcW w:w="1135"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c>
          <w:tcPr>
            <w:tcW w:w="1135"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c>
          <w:tcPr>
            <w:tcW w:w="3563"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r>
      <w:tr w:rsidR="001475C9" w:rsidRPr="000F46A2" w:rsidTr="000F46A2">
        <w:trPr>
          <w:trHeight w:val="85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c>
          <w:tcPr>
            <w:tcW w:w="1135"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c>
          <w:tcPr>
            <w:tcW w:w="1135"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c>
          <w:tcPr>
            <w:tcW w:w="3563"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r>
      <w:tr w:rsidR="001475C9" w:rsidRPr="000F46A2" w:rsidTr="000F46A2">
        <w:trPr>
          <w:trHeight w:val="85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c>
          <w:tcPr>
            <w:tcW w:w="1135"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c>
          <w:tcPr>
            <w:tcW w:w="1135"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c>
          <w:tcPr>
            <w:tcW w:w="3563"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r>
      <w:tr w:rsidR="001475C9" w:rsidRPr="000F46A2" w:rsidTr="000F46A2">
        <w:trPr>
          <w:trHeight w:val="85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c>
          <w:tcPr>
            <w:tcW w:w="1135"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c>
          <w:tcPr>
            <w:tcW w:w="1135"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c>
          <w:tcPr>
            <w:tcW w:w="3563"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r>
      <w:tr w:rsidR="001475C9" w:rsidRPr="000F46A2" w:rsidTr="000F46A2">
        <w:trPr>
          <w:trHeight w:val="85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c>
          <w:tcPr>
            <w:tcW w:w="1135"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c>
          <w:tcPr>
            <w:tcW w:w="1135"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c>
          <w:tcPr>
            <w:tcW w:w="3563"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r>
      <w:tr w:rsidR="001475C9" w:rsidRPr="000F46A2" w:rsidTr="000F46A2">
        <w:trPr>
          <w:trHeight w:val="85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c>
          <w:tcPr>
            <w:tcW w:w="1135"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c>
          <w:tcPr>
            <w:tcW w:w="1135"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c>
          <w:tcPr>
            <w:tcW w:w="3563"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r>
      <w:tr w:rsidR="001475C9" w:rsidRPr="000F46A2" w:rsidTr="000F46A2">
        <w:trPr>
          <w:trHeight w:val="85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c>
          <w:tcPr>
            <w:tcW w:w="1135"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c>
          <w:tcPr>
            <w:tcW w:w="1135"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c>
          <w:tcPr>
            <w:tcW w:w="3563"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autoSpaceDE w:val="0"/>
              <w:autoSpaceDN w:val="0"/>
              <w:spacing w:line="360" w:lineRule="auto"/>
              <w:rPr>
                <w:rFonts w:ascii="Arial" w:hAnsi="Arial" w:cs="Arial"/>
                <w:b/>
                <w:bCs/>
                <w:sz w:val="16"/>
                <w:szCs w:val="16"/>
              </w:rPr>
            </w:pPr>
          </w:p>
        </w:tc>
      </w:tr>
    </w:tbl>
    <w:p w:rsidR="001475C9" w:rsidRPr="000F46A2" w:rsidRDefault="001475C9" w:rsidP="001475C9">
      <w:pPr>
        <w:autoSpaceDE w:val="0"/>
        <w:autoSpaceDN w:val="0"/>
        <w:spacing w:line="360" w:lineRule="auto"/>
        <w:rPr>
          <w:rFonts w:ascii="Arial" w:hAnsi="Arial" w:cs="Arial"/>
          <w:b/>
          <w:bCs/>
          <w:sz w:val="16"/>
          <w:szCs w:val="16"/>
        </w:rPr>
      </w:pPr>
      <w:r w:rsidRPr="000F46A2">
        <w:rPr>
          <w:rFonts w:ascii="Arial" w:hAnsi="Arial" w:cs="Arial"/>
          <w:b/>
          <w:bCs/>
          <w:sz w:val="16"/>
          <w:szCs w:val="16"/>
        </w:rPr>
        <w:t>Testing performed by</w:t>
      </w:r>
      <w:proofErr w:type="gramStart"/>
      <w:r w:rsidRPr="000F46A2">
        <w:rPr>
          <w:rFonts w:ascii="Arial" w:hAnsi="Arial" w:cs="Arial"/>
          <w:b/>
          <w:bCs/>
          <w:sz w:val="16"/>
          <w:szCs w:val="16"/>
        </w:rPr>
        <w:t xml:space="preserve"> :…</w:t>
      </w:r>
      <w:proofErr w:type="gramEnd"/>
      <w:r w:rsidRPr="000F46A2">
        <w:rPr>
          <w:rFonts w:ascii="Arial" w:hAnsi="Arial" w:cs="Arial"/>
          <w:b/>
          <w:bCs/>
          <w:sz w:val="16"/>
          <w:szCs w:val="16"/>
        </w:rPr>
        <w:t xml:space="preserve">……………………   </w:t>
      </w:r>
      <w:proofErr w:type="gramStart"/>
      <w:r w:rsidRPr="000F46A2">
        <w:rPr>
          <w:rFonts w:ascii="Arial" w:hAnsi="Arial" w:cs="Arial"/>
          <w:b/>
          <w:bCs/>
          <w:sz w:val="16"/>
          <w:szCs w:val="16"/>
        </w:rPr>
        <w:t>Signature:…</w:t>
      </w:r>
      <w:proofErr w:type="gramEnd"/>
      <w:r w:rsidRPr="000F46A2">
        <w:rPr>
          <w:rFonts w:ascii="Arial" w:hAnsi="Arial" w:cs="Arial"/>
          <w:b/>
          <w:bCs/>
          <w:sz w:val="16"/>
          <w:szCs w:val="16"/>
        </w:rPr>
        <w:t xml:space="preserve">……………..    </w:t>
      </w:r>
      <w:proofErr w:type="gramStart"/>
      <w:r w:rsidRPr="000F46A2">
        <w:rPr>
          <w:rFonts w:ascii="Arial" w:hAnsi="Arial" w:cs="Arial"/>
          <w:b/>
          <w:bCs/>
          <w:sz w:val="16"/>
          <w:szCs w:val="16"/>
        </w:rPr>
        <w:t>Date:…</w:t>
      </w:r>
      <w:proofErr w:type="gramEnd"/>
      <w:r w:rsidRPr="000F46A2">
        <w:rPr>
          <w:rFonts w:ascii="Arial" w:hAnsi="Arial" w:cs="Arial"/>
          <w:b/>
          <w:bCs/>
          <w:sz w:val="16"/>
          <w:szCs w:val="16"/>
        </w:rPr>
        <w:t>……………..…</w:t>
      </w:r>
    </w:p>
    <w:p w:rsidR="001475C9" w:rsidRPr="000F46A2" w:rsidRDefault="001475C9" w:rsidP="001475C9">
      <w:pPr>
        <w:autoSpaceDE w:val="0"/>
        <w:autoSpaceDN w:val="0"/>
        <w:spacing w:line="360" w:lineRule="auto"/>
        <w:rPr>
          <w:rFonts w:ascii="Arial" w:hAnsi="Arial" w:cs="Arial"/>
          <w:b/>
          <w:bCs/>
          <w:sz w:val="16"/>
          <w:szCs w:val="16"/>
        </w:rPr>
      </w:pPr>
      <w:r w:rsidRPr="000F46A2">
        <w:rPr>
          <w:rFonts w:ascii="Arial" w:hAnsi="Arial" w:cs="Arial"/>
          <w:sz w:val="16"/>
          <w:szCs w:val="16"/>
        </w:rPr>
        <w:t>Document the result of the test clearly in the box below (After the D4-6 follow-up call):</w:t>
      </w:r>
    </w:p>
    <w:tbl>
      <w:tblPr>
        <w:tblW w:w="10235" w:type="dxa"/>
        <w:tblCellMar>
          <w:left w:w="0" w:type="dxa"/>
          <w:right w:w="0" w:type="dxa"/>
        </w:tblCellMar>
        <w:tblLook w:val="04A0" w:firstRow="1" w:lastRow="0" w:firstColumn="1" w:lastColumn="0" w:noHBand="0" w:noVBand="1"/>
      </w:tblPr>
      <w:tblGrid>
        <w:gridCol w:w="3163"/>
        <w:gridCol w:w="3522"/>
        <w:gridCol w:w="3550"/>
      </w:tblGrid>
      <w:tr w:rsidR="001475C9" w:rsidRPr="000F46A2" w:rsidTr="000F46A2">
        <w:trPr>
          <w:trHeight w:val="477"/>
        </w:trPr>
        <w:tc>
          <w:tcPr>
            <w:tcW w:w="3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75C9" w:rsidRPr="000F46A2" w:rsidRDefault="001475C9">
            <w:pPr>
              <w:jc w:val="both"/>
              <w:rPr>
                <w:rFonts w:ascii="Arial" w:hAnsi="Arial" w:cs="Arial"/>
                <w:b/>
                <w:bCs/>
                <w:sz w:val="16"/>
                <w:szCs w:val="16"/>
              </w:rPr>
            </w:pPr>
            <w:r w:rsidRPr="000F46A2">
              <w:rPr>
                <w:rFonts w:ascii="Arial" w:hAnsi="Arial" w:cs="Arial"/>
                <w:b/>
                <w:bCs/>
                <w:sz w:val="16"/>
                <w:szCs w:val="16"/>
              </w:rPr>
              <w:t>RESULT OF TEST:</w:t>
            </w:r>
          </w:p>
        </w:tc>
        <w:tc>
          <w:tcPr>
            <w:tcW w:w="35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5C9" w:rsidRPr="000F46A2" w:rsidRDefault="001475C9">
            <w:pPr>
              <w:jc w:val="both"/>
              <w:rPr>
                <w:rFonts w:ascii="Arial" w:hAnsi="Arial" w:cs="Arial"/>
                <w:b/>
                <w:bCs/>
                <w:sz w:val="16"/>
                <w:szCs w:val="16"/>
              </w:rPr>
            </w:pPr>
            <w:r w:rsidRPr="000F46A2">
              <w:rPr>
                <w:rFonts w:ascii="Arial" w:hAnsi="Arial" w:cs="Arial"/>
                <w:b/>
                <w:bCs/>
                <w:sz w:val="16"/>
                <w:szCs w:val="16"/>
              </w:rPr>
              <w:t>NEGATIVE</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5C9" w:rsidRPr="000F46A2" w:rsidRDefault="001475C9">
            <w:pPr>
              <w:jc w:val="both"/>
              <w:rPr>
                <w:rFonts w:ascii="Arial" w:hAnsi="Arial" w:cs="Arial"/>
                <w:b/>
                <w:bCs/>
                <w:sz w:val="16"/>
                <w:szCs w:val="16"/>
              </w:rPr>
            </w:pPr>
            <w:r w:rsidRPr="000F46A2">
              <w:rPr>
                <w:rFonts w:ascii="Arial" w:hAnsi="Arial" w:cs="Arial"/>
                <w:b/>
                <w:bCs/>
                <w:sz w:val="16"/>
                <w:szCs w:val="16"/>
              </w:rPr>
              <w:t>POSITIVE</w:t>
            </w:r>
          </w:p>
        </w:tc>
      </w:tr>
      <w:tr w:rsidR="001475C9" w:rsidRPr="000F46A2" w:rsidTr="000F46A2">
        <w:trPr>
          <w:trHeight w:val="477"/>
        </w:trPr>
        <w:tc>
          <w:tcPr>
            <w:tcW w:w="3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75C9" w:rsidRPr="000F46A2" w:rsidRDefault="001475C9">
            <w:pPr>
              <w:jc w:val="both"/>
              <w:rPr>
                <w:rFonts w:ascii="Arial" w:hAnsi="Arial" w:cs="Arial"/>
                <w:b/>
                <w:bCs/>
                <w:sz w:val="16"/>
                <w:szCs w:val="16"/>
              </w:rPr>
            </w:pPr>
          </w:p>
        </w:tc>
        <w:tc>
          <w:tcPr>
            <w:tcW w:w="3522"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jc w:val="both"/>
              <w:rPr>
                <w:rFonts w:ascii="Arial" w:hAnsi="Arial" w:cs="Arial"/>
                <w:b/>
                <w:bCs/>
                <w:sz w:val="16"/>
                <w:szCs w:val="16"/>
              </w:rPr>
            </w:pP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1475C9" w:rsidRPr="000F46A2" w:rsidRDefault="001475C9">
            <w:pPr>
              <w:jc w:val="both"/>
              <w:rPr>
                <w:rFonts w:ascii="Arial" w:hAnsi="Arial" w:cs="Arial"/>
                <w:b/>
                <w:bCs/>
                <w:sz w:val="16"/>
                <w:szCs w:val="16"/>
              </w:rPr>
            </w:pPr>
          </w:p>
        </w:tc>
      </w:tr>
      <w:tr w:rsidR="001475C9" w:rsidRPr="000F46A2" w:rsidTr="000F46A2">
        <w:trPr>
          <w:trHeight w:val="477"/>
        </w:trPr>
        <w:tc>
          <w:tcPr>
            <w:tcW w:w="31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5C9" w:rsidRPr="000F46A2" w:rsidRDefault="001475C9">
            <w:pPr>
              <w:jc w:val="both"/>
              <w:rPr>
                <w:rFonts w:ascii="Arial" w:hAnsi="Arial" w:cs="Arial"/>
                <w:sz w:val="16"/>
                <w:szCs w:val="16"/>
              </w:rPr>
            </w:pPr>
            <w:r w:rsidRPr="000F46A2">
              <w:rPr>
                <w:rFonts w:ascii="Arial" w:hAnsi="Arial" w:cs="Arial"/>
                <w:sz w:val="16"/>
                <w:szCs w:val="16"/>
              </w:rPr>
              <w:lastRenderedPageBreak/>
              <w:t>ADVICE FOR PATIENT</w:t>
            </w:r>
          </w:p>
        </w:tc>
        <w:tc>
          <w:tcPr>
            <w:tcW w:w="3522" w:type="dxa"/>
            <w:tcBorders>
              <w:top w:val="nil"/>
              <w:left w:val="nil"/>
              <w:bottom w:val="single" w:sz="8" w:space="0" w:color="auto"/>
              <w:right w:val="single" w:sz="8" w:space="0" w:color="auto"/>
            </w:tcBorders>
            <w:tcMar>
              <w:top w:w="0" w:type="dxa"/>
              <w:left w:w="108" w:type="dxa"/>
              <w:bottom w:w="0" w:type="dxa"/>
              <w:right w:w="108" w:type="dxa"/>
            </w:tcMar>
            <w:hideMark/>
          </w:tcPr>
          <w:p w:rsidR="001475C9" w:rsidRPr="000F46A2" w:rsidRDefault="001475C9">
            <w:pPr>
              <w:jc w:val="both"/>
              <w:rPr>
                <w:rFonts w:ascii="Arial" w:hAnsi="Arial" w:cs="Arial"/>
                <w:sz w:val="16"/>
                <w:szCs w:val="16"/>
              </w:rPr>
            </w:pPr>
            <w:r w:rsidRPr="000F46A2">
              <w:rPr>
                <w:rFonts w:ascii="Arial" w:hAnsi="Arial" w:cs="Arial"/>
                <w:sz w:val="16"/>
                <w:szCs w:val="16"/>
              </w:rPr>
              <w:t>SAFE TO TAKE DRUG AGAIN IN FUTURE</w:t>
            </w:r>
          </w:p>
        </w:tc>
        <w:tc>
          <w:tcPr>
            <w:tcW w:w="3550" w:type="dxa"/>
            <w:tcBorders>
              <w:top w:val="nil"/>
              <w:left w:val="nil"/>
              <w:bottom w:val="single" w:sz="8" w:space="0" w:color="auto"/>
              <w:right w:val="single" w:sz="8" w:space="0" w:color="auto"/>
            </w:tcBorders>
            <w:tcMar>
              <w:top w:w="0" w:type="dxa"/>
              <w:left w:w="108" w:type="dxa"/>
              <w:bottom w:w="0" w:type="dxa"/>
              <w:right w:w="108" w:type="dxa"/>
            </w:tcMar>
            <w:hideMark/>
          </w:tcPr>
          <w:p w:rsidR="001475C9" w:rsidRPr="000F46A2" w:rsidRDefault="001475C9">
            <w:pPr>
              <w:jc w:val="both"/>
              <w:rPr>
                <w:rFonts w:ascii="Arial" w:hAnsi="Arial" w:cs="Arial"/>
                <w:sz w:val="16"/>
                <w:szCs w:val="16"/>
              </w:rPr>
            </w:pPr>
            <w:r w:rsidRPr="000F46A2">
              <w:rPr>
                <w:rFonts w:ascii="Arial" w:hAnsi="Arial" w:cs="Arial"/>
                <w:sz w:val="16"/>
                <w:szCs w:val="16"/>
              </w:rPr>
              <w:t>MUST AVOID DRUG IN FUTURE</w:t>
            </w:r>
          </w:p>
        </w:tc>
      </w:tr>
    </w:tbl>
    <w:p w:rsidR="001475C9" w:rsidRDefault="001475C9" w:rsidP="001475C9">
      <w:pPr>
        <w:autoSpaceDE w:val="0"/>
        <w:autoSpaceDN w:val="0"/>
        <w:spacing w:line="360" w:lineRule="auto"/>
        <w:rPr>
          <w:rFonts w:ascii="Arial" w:hAnsi="Arial" w:cs="Arial"/>
          <w:b/>
          <w:bCs/>
          <w:lang w:eastAsia="en-GB"/>
        </w:rPr>
      </w:pPr>
    </w:p>
    <w:p w:rsidR="001475C9" w:rsidRPr="000F46A2" w:rsidRDefault="001475C9" w:rsidP="001475C9">
      <w:pPr>
        <w:rPr>
          <w:rFonts w:ascii="Arial" w:hAnsi="Arial" w:cs="Arial"/>
          <w:b/>
          <w:bCs/>
          <w:sz w:val="16"/>
          <w:szCs w:val="16"/>
        </w:rPr>
      </w:pPr>
      <w:r w:rsidRPr="000F46A2">
        <w:rPr>
          <w:rFonts w:ascii="Arial" w:hAnsi="Arial" w:cs="Arial"/>
          <w:b/>
          <w:bCs/>
          <w:sz w:val="16"/>
          <w:szCs w:val="16"/>
        </w:rPr>
        <w:t xml:space="preserve">Test result completed by: ……………………  </w:t>
      </w:r>
      <w:proofErr w:type="gramStart"/>
      <w:r w:rsidRPr="000F46A2">
        <w:rPr>
          <w:rFonts w:ascii="Arial" w:hAnsi="Arial" w:cs="Arial"/>
          <w:b/>
          <w:bCs/>
          <w:sz w:val="16"/>
          <w:szCs w:val="16"/>
        </w:rPr>
        <w:t>Signature:…</w:t>
      </w:r>
      <w:proofErr w:type="gramEnd"/>
      <w:r w:rsidRPr="000F46A2">
        <w:rPr>
          <w:rFonts w:ascii="Arial" w:hAnsi="Arial" w:cs="Arial"/>
          <w:b/>
          <w:bCs/>
          <w:sz w:val="16"/>
          <w:szCs w:val="16"/>
        </w:rPr>
        <w:t xml:space="preserve">……………..   </w:t>
      </w:r>
      <w:proofErr w:type="gramStart"/>
      <w:r w:rsidRPr="000F46A2">
        <w:rPr>
          <w:rFonts w:ascii="Arial" w:hAnsi="Arial" w:cs="Arial"/>
          <w:b/>
          <w:bCs/>
          <w:sz w:val="16"/>
          <w:szCs w:val="16"/>
        </w:rPr>
        <w:t>Date:…</w:t>
      </w:r>
      <w:proofErr w:type="gramEnd"/>
      <w:r w:rsidRPr="000F46A2">
        <w:rPr>
          <w:rFonts w:ascii="Arial" w:hAnsi="Arial" w:cs="Arial"/>
          <w:b/>
          <w:bCs/>
          <w:sz w:val="16"/>
          <w:szCs w:val="16"/>
        </w:rPr>
        <w:t>……………..…</w:t>
      </w:r>
    </w:p>
    <w:p w:rsidR="00986B77" w:rsidRDefault="00986B77" w:rsidP="00986B77">
      <w:pPr>
        <w:spacing w:after="0" w:line="240" w:lineRule="auto"/>
        <w:jc w:val="center"/>
        <w:rPr>
          <w:rFonts w:cstheme="minorHAnsi"/>
          <w:b/>
          <w:u w:val="single"/>
        </w:rPr>
      </w:pPr>
      <w:r w:rsidRPr="009024EC">
        <w:rPr>
          <w:rFonts w:cstheme="minorHAnsi"/>
          <w:b/>
          <w:u w:val="single"/>
        </w:rPr>
        <w:t>Penicillin allergy assessment questions</w:t>
      </w:r>
    </w:p>
    <w:p w:rsidR="00986B77" w:rsidRDefault="00986B77" w:rsidP="00986B77">
      <w:pPr>
        <w:spacing w:after="0" w:line="240" w:lineRule="auto"/>
        <w:jc w:val="center"/>
        <w:rPr>
          <w:rFonts w:cstheme="minorHAnsi"/>
          <w:b/>
          <w:u w:val="single"/>
        </w:rPr>
      </w:pPr>
    </w:p>
    <w:p w:rsidR="00986B77" w:rsidRPr="002A670E" w:rsidRDefault="00986B77" w:rsidP="00986B77">
      <w:pPr>
        <w:spacing w:after="0" w:line="240" w:lineRule="auto"/>
        <w:rPr>
          <w:rFonts w:cstheme="minorHAnsi"/>
          <w:bCs/>
        </w:rPr>
      </w:pPr>
      <w:r w:rsidRPr="002A670E">
        <w:rPr>
          <w:rFonts w:cstheme="minorHAnsi"/>
          <w:bCs/>
        </w:rPr>
        <w:t>The answers to the questions below will be used with the decision support tool</w:t>
      </w:r>
      <w:r>
        <w:rPr>
          <w:rFonts w:cstheme="minorHAnsi"/>
          <w:bCs/>
        </w:rPr>
        <w:t xml:space="preserve"> below </w:t>
      </w:r>
      <w:r w:rsidRPr="002A670E">
        <w:rPr>
          <w:rFonts w:cstheme="minorHAnsi"/>
          <w:bCs/>
        </w:rPr>
        <w:t xml:space="preserve">to decide whether </w:t>
      </w:r>
      <w:r>
        <w:rPr>
          <w:rFonts w:cstheme="minorHAnsi"/>
          <w:bCs/>
        </w:rPr>
        <w:t xml:space="preserve">the </w:t>
      </w:r>
      <w:r w:rsidRPr="002A670E">
        <w:rPr>
          <w:rFonts w:cstheme="minorHAnsi"/>
          <w:bCs/>
        </w:rPr>
        <w:t>patient</w:t>
      </w:r>
      <w:r>
        <w:rPr>
          <w:rFonts w:cstheme="minorHAnsi"/>
          <w:bCs/>
        </w:rPr>
        <w:t xml:space="preserve"> is </w:t>
      </w:r>
      <w:r w:rsidRPr="002A670E">
        <w:rPr>
          <w:rFonts w:cstheme="minorHAnsi"/>
          <w:bCs/>
        </w:rPr>
        <w:t>de-labelled on history alone, is offered an oral challenge test or whether no intervention is</w:t>
      </w:r>
      <w:r>
        <w:rPr>
          <w:rFonts w:cstheme="minorHAnsi"/>
          <w:bCs/>
        </w:rPr>
        <w:t xml:space="preserve"> able to be </w:t>
      </w:r>
      <w:r w:rsidRPr="002A670E">
        <w:rPr>
          <w:rFonts w:cstheme="minorHAnsi"/>
          <w:bCs/>
        </w:rPr>
        <w:t xml:space="preserve">offered. Those </w:t>
      </w:r>
      <w:r>
        <w:rPr>
          <w:rFonts w:cstheme="minorHAnsi"/>
          <w:bCs/>
        </w:rPr>
        <w:t>meeting criteria for allergist referral will be considered for allergist referral if they meet the local referral criteria (below).</w:t>
      </w:r>
      <w:r w:rsidRPr="002A670E">
        <w:rPr>
          <w:rFonts w:cstheme="minorHAnsi"/>
          <w:bCs/>
        </w:rPr>
        <w:t xml:space="preserve"> </w:t>
      </w:r>
    </w:p>
    <w:p w:rsidR="00986B77" w:rsidRPr="002A670E" w:rsidRDefault="00986B77" w:rsidP="00986B77">
      <w:pPr>
        <w:spacing w:after="0" w:line="240" w:lineRule="auto"/>
        <w:rPr>
          <w:rFonts w:cstheme="minorHAnsi"/>
          <w:b/>
        </w:rPr>
      </w:pPr>
    </w:p>
    <w:p w:rsidR="00986B77" w:rsidRDefault="00986B77" w:rsidP="00986B77">
      <w:pPr>
        <w:spacing w:after="0" w:line="240" w:lineRule="auto"/>
        <w:rPr>
          <w:rFonts w:cstheme="minorHAnsi"/>
          <w:b/>
        </w:rPr>
      </w:pPr>
    </w:p>
    <w:p w:rsidR="00B810EF" w:rsidRPr="00021297" w:rsidRDefault="00251E62" w:rsidP="00B810EF">
      <w:pPr>
        <w:pStyle w:val="ListParagraph"/>
        <w:numPr>
          <w:ilvl w:val="0"/>
          <w:numId w:val="2"/>
        </w:numPr>
        <w:spacing w:after="0" w:line="240" w:lineRule="auto"/>
        <w:rPr>
          <w:rFonts w:cstheme="minorHAnsi"/>
          <w:b/>
        </w:rPr>
      </w:pPr>
      <w:r>
        <w:rPr>
          <w:rFonts w:cstheme="minorHAnsi"/>
          <w:b/>
        </w:rPr>
        <w:t>Which penicillin (s) are you allergic to</w:t>
      </w:r>
      <w:r w:rsidR="00986B77" w:rsidRPr="009024EC">
        <w:rPr>
          <w:rFonts w:cstheme="minorHAnsi"/>
          <w:b/>
        </w:rPr>
        <w:t>?</w:t>
      </w:r>
    </w:p>
    <w:p w:rsidR="00021297" w:rsidRPr="003412BE" w:rsidRDefault="00021297" w:rsidP="003412BE">
      <w:pPr>
        <w:spacing w:after="0" w:line="240" w:lineRule="auto"/>
        <w:ind w:left="360"/>
        <w:rPr>
          <w:rFonts w:cstheme="minorHAnsi"/>
          <w:bCs/>
        </w:rPr>
      </w:pPr>
    </w:p>
    <w:p w:rsidR="00986B77" w:rsidRDefault="00986B77" w:rsidP="00B810EF">
      <w:pPr>
        <w:pStyle w:val="ListParagraph"/>
        <w:numPr>
          <w:ilvl w:val="0"/>
          <w:numId w:val="2"/>
        </w:numPr>
        <w:spacing w:after="0" w:line="240" w:lineRule="auto"/>
        <w:rPr>
          <w:rFonts w:cstheme="minorHAnsi"/>
          <w:b/>
        </w:rPr>
      </w:pPr>
      <w:r w:rsidRPr="009024EC">
        <w:rPr>
          <w:rFonts w:cstheme="minorHAnsi"/>
          <w:b/>
        </w:rPr>
        <w:t>Do you remember the details of the reac</w:t>
      </w:r>
      <w:r w:rsidRPr="002B3E5E">
        <w:rPr>
          <w:rFonts w:cstheme="minorHAnsi"/>
          <w:b/>
        </w:rPr>
        <w:t>ti</w:t>
      </w:r>
      <w:r w:rsidR="002B3E5E" w:rsidRPr="002B3E5E">
        <w:rPr>
          <w:rFonts w:cstheme="minorHAnsi"/>
          <w:b/>
        </w:rPr>
        <w:t>o</w:t>
      </w:r>
      <w:r w:rsidRPr="009024EC">
        <w:rPr>
          <w:rFonts w:cstheme="minorHAnsi"/>
          <w:b/>
        </w:rPr>
        <w:t>n?</w:t>
      </w:r>
    </w:p>
    <w:p w:rsidR="00021297" w:rsidRPr="00021297" w:rsidRDefault="00021297" w:rsidP="003412BE">
      <w:pPr>
        <w:spacing w:after="0" w:line="240" w:lineRule="auto"/>
        <w:rPr>
          <w:rFonts w:cstheme="minorHAnsi"/>
          <w:bCs/>
        </w:rPr>
      </w:pPr>
    </w:p>
    <w:p w:rsidR="00986B77" w:rsidRPr="00021297" w:rsidRDefault="00986B77" w:rsidP="00986B77">
      <w:pPr>
        <w:pStyle w:val="ListParagraph"/>
        <w:numPr>
          <w:ilvl w:val="0"/>
          <w:numId w:val="2"/>
        </w:numPr>
        <w:spacing w:after="0" w:line="240" w:lineRule="auto"/>
        <w:rPr>
          <w:rFonts w:cstheme="minorHAnsi"/>
          <w:b/>
        </w:rPr>
      </w:pPr>
      <w:r w:rsidRPr="009024EC">
        <w:rPr>
          <w:rFonts w:cstheme="minorHAnsi"/>
          <w:b/>
        </w:rPr>
        <w:t>How many hours after having your first dose of the antibiotic did the reaction occur?</w:t>
      </w:r>
    </w:p>
    <w:p w:rsidR="00021297" w:rsidRPr="00B810EF" w:rsidRDefault="00021297" w:rsidP="003412BE">
      <w:pPr>
        <w:spacing w:after="0" w:line="240" w:lineRule="auto"/>
        <w:ind w:firstLine="360"/>
        <w:rPr>
          <w:rFonts w:cstheme="minorHAnsi"/>
          <w:bCs/>
        </w:rPr>
      </w:pPr>
    </w:p>
    <w:p w:rsidR="00021297" w:rsidRPr="003412BE" w:rsidRDefault="00986B77" w:rsidP="003412BE">
      <w:pPr>
        <w:pStyle w:val="ListParagraph"/>
        <w:numPr>
          <w:ilvl w:val="0"/>
          <w:numId w:val="2"/>
        </w:numPr>
        <w:spacing w:after="0" w:line="240" w:lineRule="auto"/>
        <w:rPr>
          <w:rFonts w:cstheme="minorHAnsi"/>
          <w:b/>
        </w:rPr>
      </w:pPr>
      <w:r w:rsidRPr="009024EC">
        <w:rPr>
          <w:rFonts w:cstheme="minorHAnsi"/>
          <w:b/>
        </w:rPr>
        <w:t>How many years ago did the reaction occur?</w:t>
      </w:r>
    </w:p>
    <w:p w:rsidR="00021297" w:rsidRPr="00021297" w:rsidRDefault="00021297" w:rsidP="00021297">
      <w:pPr>
        <w:spacing w:after="0" w:line="240" w:lineRule="auto"/>
        <w:rPr>
          <w:rFonts w:cstheme="minorHAnsi"/>
          <w:b/>
        </w:rPr>
      </w:pPr>
    </w:p>
    <w:p w:rsidR="00B810EF" w:rsidRPr="003412BE" w:rsidRDefault="00986B77" w:rsidP="003412BE">
      <w:pPr>
        <w:pStyle w:val="ListParagraph"/>
        <w:numPr>
          <w:ilvl w:val="0"/>
          <w:numId w:val="2"/>
        </w:numPr>
        <w:spacing w:after="0" w:line="240" w:lineRule="auto"/>
        <w:rPr>
          <w:rFonts w:cstheme="minorHAnsi"/>
          <w:b/>
        </w:rPr>
      </w:pPr>
      <w:r w:rsidRPr="009024EC">
        <w:rPr>
          <w:rFonts w:cstheme="minorHAnsi"/>
          <w:b/>
        </w:rPr>
        <w:t>How was the reaction managed? What was the outcome?</w:t>
      </w:r>
    </w:p>
    <w:p w:rsidR="00986B77" w:rsidRPr="009024EC" w:rsidRDefault="00B810EF" w:rsidP="00B810EF">
      <w:pPr>
        <w:tabs>
          <w:tab w:val="left" w:pos="2565"/>
        </w:tabs>
        <w:spacing w:after="0" w:line="240" w:lineRule="auto"/>
        <w:rPr>
          <w:rFonts w:cstheme="minorHAnsi"/>
          <w:b/>
        </w:rPr>
      </w:pPr>
      <w:r>
        <w:rPr>
          <w:rFonts w:cstheme="minorHAnsi"/>
          <w:b/>
        </w:rPr>
        <w:tab/>
      </w:r>
    </w:p>
    <w:p w:rsidR="00986B77" w:rsidRDefault="00986B77" w:rsidP="00986B77">
      <w:pPr>
        <w:pStyle w:val="ListParagraph"/>
        <w:numPr>
          <w:ilvl w:val="0"/>
          <w:numId w:val="2"/>
        </w:numPr>
        <w:spacing w:after="0" w:line="240" w:lineRule="auto"/>
        <w:rPr>
          <w:rFonts w:cstheme="minorHAnsi"/>
          <w:b/>
        </w:rPr>
      </w:pPr>
      <w:r w:rsidRPr="009024EC">
        <w:rPr>
          <w:rFonts w:cstheme="minorHAnsi"/>
          <w:b/>
        </w:rPr>
        <w:t>Which other antibiotics have you tolerated post reaction?</w:t>
      </w:r>
    </w:p>
    <w:p w:rsidR="00652165" w:rsidRDefault="00652165" w:rsidP="00986B77">
      <w:pPr>
        <w:spacing w:after="0" w:line="240" w:lineRule="auto"/>
        <w:rPr>
          <w:rFonts w:cstheme="minorHAnsi"/>
          <w:b/>
        </w:rPr>
      </w:pPr>
    </w:p>
    <w:p w:rsidR="00652165" w:rsidRDefault="00652165" w:rsidP="00986B77">
      <w:pPr>
        <w:spacing w:after="0" w:line="240" w:lineRule="auto"/>
        <w:rPr>
          <w:rFonts w:cstheme="minorHAnsi"/>
          <w:b/>
        </w:rPr>
      </w:pPr>
    </w:p>
    <w:p w:rsidR="00986B77" w:rsidRDefault="00B810EF" w:rsidP="00986B77">
      <w:pPr>
        <w:spacing w:after="0" w:line="240" w:lineRule="auto"/>
        <w:rPr>
          <w:rFonts w:cstheme="minorHAnsi"/>
          <w:b/>
        </w:rPr>
      </w:pPr>
      <w:r w:rsidRPr="00B810EF">
        <w:rPr>
          <w:rFonts w:cstheme="minorHAnsi"/>
          <w:b/>
        </w:rPr>
        <w:t>Allergy risk category, and rationale for that category</w:t>
      </w:r>
    </w:p>
    <w:p w:rsidR="00986B77" w:rsidRPr="003412BE" w:rsidRDefault="00986B77" w:rsidP="00986B77">
      <w:pPr>
        <w:spacing w:after="0" w:line="240" w:lineRule="auto"/>
        <w:rPr>
          <w:rFonts w:cstheme="minorHAnsi"/>
          <w:bCs/>
        </w:rPr>
      </w:pPr>
    </w:p>
    <w:p w:rsidR="00986B77" w:rsidRDefault="00021297" w:rsidP="00986B77">
      <w:pPr>
        <w:spacing w:after="0" w:line="240" w:lineRule="auto"/>
        <w:rPr>
          <w:rFonts w:cstheme="minorHAnsi"/>
          <w:b/>
        </w:rPr>
      </w:pPr>
      <w:r>
        <w:rPr>
          <w:rFonts w:cstheme="minorHAnsi"/>
          <w:b/>
        </w:rPr>
        <w:t>Allergy history taken by</w:t>
      </w:r>
    </w:p>
    <w:p w:rsidR="00021297" w:rsidRPr="003412BE" w:rsidRDefault="00021297" w:rsidP="00986B77">
      <w:pPr>
        <w:spacing w:after="0" w:line="240" w:lineRule="auto"/>
        <w:rPr>
          <w:rFonts w:cstheme="minorHAnsi"/>
          <w:bCs/>
        </w:rPr>
      </w:pPr>
    </w:p>
    <w:p w:rsidR="00021297" w:rsidRDefault="00021297" w:rsidP="00986B77">
      <w:pPr>
        <w:spacing w:after="0" w:line="240" w:lineRule="auto"/>
        <w:rPr>
          <w:rFonts w:cstheme="minorHAnsi"/>
          <w:b/>
        </w:rPr>
      </w:pPr>
      <w:r>
        <w:rPr>
          <w:rFonts w:cstheme="minorHAnsi"/>
          <w:b/>
        </w:rPr>
        <w:t>Date</w:t>
      </w:r>
    </w:p>
    <w:p w:rsidR="00986B77" w:rsidRPr="003412BE" w:rsidRDefault="00986B77" w:rsidP="00986B77">
      <w:pPr>
        <w:spacing w:after="0" w:line="240" w:lineRule="auto"/>
        <w:rPr>
          <w:rFonts w:cstheme="minorHAnsi"/>
          <w:bCs/>
        </w:rPr>
      </w:pPr>
    </w:p>
    <w:p w:rsidR="00652165" w:rsidRDefault="00652165" w:rsidP="00652165">
      <w:pPr>
        <w:spacing w:after="0" w:line="240" w:lineRule="auto"/>
        <w:rPr>
          <w:rFonts w:cstheme="minorHAnsi"/>
          <w:bCs/>
        </w:rPr>
      </w:pPr>
      <w:r w:rsidRPr="00652165">
        <w:rPr>
          <w:rFonts w:cstheme="minorHAnsi"/>
          <w:bCs/>
        </w:rPr>
        <w:t>Cut and paste the questions above and the answers given in to a ‘Pharmaceutical Care Plan’ note in EPMA with a title that reflects the outcome of the allergy risk assessment. Choose one of the following titles;</w:t>
      </w:r>
    </w:p>
    <w:p w:rsidR="00652165" w:rsidRPr="00652165" w:rsidRDefault="00652165" w:rsidP="00652165">
      <w:pPr>
        <w:spacing w:after="0" w:line="240" w:lineRule="auto"/>
        <w:rPr>
          <w:rFonts w:cstheme="minorHAnsi"/>
          <w:bCs/>
        </w:rPr>
      </w:pPr>
    </w:p>
    <w:p w:rsidR="00652165" w:rsidRPr="00652165" w:rsidRDefault="00652165" w:rsidP="00652165">
      <w:pPr>
        <w:spacing w:after="0" w:line="240" w:lineRule="auto"/>
        <w:rPr>
          <w:rFonts w:cstheme="minorHAnsi"/>
          <w:bCs/>
        </w:rPr>
      </w:pPr>
      <w:r w:rsidRPr="00652165">
        <w:rPr>
          <w:rFonts w:cstheme="minorHAnsi"/>
          <w:bCs/>
        </w:rPr>
        <w:t>•</w:t>
      </w:r>
      <w:r w:rsidRPr="00652165">
        <w:rPr>
          <w:rFonts w:cstheme="minorHAnsi"/>
          <w:bCs/>
        </w:rPr>
        <w:tab/>
        <w:t>“RIPAL HIGH” –high risk allergy history as per decision tool</w:t>
      </w:r>
    </w:p>
    <w:p w:rsidR="00652165" w:rsidRPr="00652165" w:rsidRDefault="00652165" w:rsidP="00652165">
      <w:pPr>
        <w:spacing w:after="0" w:line="240" w:lineRule="auto"/>
        <w:rPr>
          <w:rFonts w:cstheme="minorHAnsi"/>
          <w:bCs/>
        </w:rPr>
      </w:pPr>
      <w:r w:rsidRPr="00652165">
        <w:rPr>
          <w:rFonts w:cstheme="minorHAnsi"/>
          <w:bCs/>
        </w:rPr>
        <w:t>•</w:t>
      </w:r>
      <w:r w:rsidRPr="00652165">
        <w:rPr>
          <w:rFonts w:cstheme="minorHAnsi"/>
          <w:bCs/>
        </w:rPr>
        <w:tab/>
        <w:t>“RIPAL LOW DDL” - low risk allergy history as per decision tool, eligible for direct de-label.</w:t>
      </w:r>
    </w:p>
    <w:p w:rsidR="00652165" w:rsidRPr="00652165" w:rsidRDefault="00652165" w:rsidP="00652165">
      <w:pPr>
        <w:spacing w:after="0" w:line="240" w:lineRule="auto"/>
        <w:rPr>
          <w:rFonts w:cstheme="minorHAnsi"/>
          <w:bCs/>
        </w:rPr>
      </w:pPr>
      <w:r w:rsidRPr="00652165">
        <w:rPr>
          <w:rFonts w:cstheme="minorHAnsi"/>
          <w:bCs/>
        </w:rPr>
        <w:t>•</w:t>
      </w:r>
      <w:r w:rsidRPr="00652165">
        <w:rPr>
          <w:rFonts w:cstheme="minorHAnsi"/>
          <w:bCs/>
        </w:rPr>
        <w:tab/>
        <w:t>“RIPAL LOW DOC” - low risk allergy history as per decision tool, eligible for oral challenge.</w:t>
      </w:r>
    </w:p>
    <w:p w:rsidR="00652165" w:rsidRPr="00652165" w:rsidRDefault="00652165" w:rsidP="00652165">
      <w:pPr>
        <w:spacing w:after="0" w:line="240" w:lineRule="auto"/>
        <w:ind w:left="720" w:hanging="720"/>
        <w:rPr>
          <w:rFonts w:cstheme="minorHAnsi"/>
          <w:bCs/>
        </w:rPr>
      </w:pPr>
      <w:r w:rsidRPr="00652165">
        <w:rPr>
          <w:rFonts w:cstheme="minorHAnsi"/>
          <w:bCs/>
        </w:rPr>
        <w:t>•</w:t>
      </w:r>
      <w:r w:rsidRPr="00652165">
        <w:rPr>
          <w:rFonts w:cstheme="minorHAnsi"/>
          <w:bCs/>
        </w:rPr>
        <w:tab/>
        <w:t>“RIPAL unable to obtain history (revisit)” - if the reason for non-obtaining history is likely to resolve during patient stay</w:t>
      </w:r>
    </w:p>
    <w:p w:rsidR="00986B77" w:rsidRPr="00652165" w:rsidRDefault="00652165" w:rsidP="00652165">
      <w:pPr>
        <w:spacing w:after="0" w:line="240" w:lineRule="auto"/>
        <w:rPr>
          <w:rFonts w:cstheme="minorHAnsi"/>
          <w:bCs/>
        </w:rPr>
      </w:pPr>
      <w:r w:rsidRPr="00652165">
        <w:rPr>
          <w:rFonts w:cstheme="minorHAnsi"/>
          <w:bCs/>
        </w:rPr>
        <w:t>•</w:t>
      </w:r>
      <w:r w:rsidRPr="00652165">
        <w:rPr>
          <w:rFonts w:cstheme="minorHAnsi"/>
          <w:bCs/>
        </w:rPr>
        <w:tab/>
        <w:t>“RIPAL unable to obtain history”- if the reason for non-obtaining history is likely permanent</w:t>
      </w:r>
    </w:p>
    <w:p w:rsidR="00986B77" w:rsidRDefault="00986B77" w:rsidP="00986B77">
      <w:pPr>
        <w:spacing w:after="0" w:line="240" w:lineRule="auto"/>
        <w:rPr>
          <w:rFonts w:cstheme="minorHAnsi"/>
          <w:b/>
        </w:rPr>
      </w:pPr>
    </w:p>
    <w:p w:rsidR="00986B77" w:rsidRDefault="00986B77" w:rsidP="00986B77">
      <w:pPr>
        <w:spacing w:after="0" w:line="240" w:lineRule="auto"/>
        <w:rPr>
          <w:rFonts w:cstheme="minorHAnsi"/>
          <w:b/>
        </w:rPr>
      </w:pPr>
    </w:p>
    <w:p w:rsidR="00986B77" w:rsidRDefault="00986B77" w:rsidP="00986B77">
      <w:pPr>
        <w:spacing w:after="0" w:line="240" w:lineRule="auto"/>
        <w:rPr>
          <w:rFonts w:cstheme="minorHAnsi"/>
          <w:b/>
        </w:rPr>
      </w:pPr>
    </w:p>
    <w:p w:rsidR="00986B77" w:rsidRDefault="00986B77" w:rsidP="00986B77">
      <w:pPr>
        <w:spacing w:after="0" w:line="240" w:lineRule="auto"/>
        <w:rPr>
          <w:rFonts w:cstheme="minorHAnsi"/>
          <w:b/>
        </w:rPr>
      </w:pPr>
    </w:p>
    <w:p w:rsidR="00986B77" w:rsidRDefault="00986B77" w:rsidP="00986B77">
      <w:pPr>
        <w:spacing w:after="0" w:line="240" w:lineRule="auto"/>
        <w:rPr>
          <w:rFonts w:cstheme="minorHAnsi"/>
          <w:b/>
        </w:rPr>
      </w:pPr>
    </w:p>
    <w:p w:rsidR="00986B77" w:rsidRDefault="00986B77" w:rsidP="00986B77">
      <w:pPr>
        <w:spacing w:after="0" w:line="240" w:lineRule="auto"/>
        <w:rPr>
          <w:rFonts w:cstheme="minorHAnsi"/>
          <w:b/>
        </w:rPr>
      </w:pPr>
    </w:p>
    <w:p w:rsidR="00986B77" w:rsidRDefault="00986B77" w:rsidP="00986B77">
      <w:pPr>
        <w:spacing w:after="0" w:line="240" w:lineRule="auto"/>
        <w:rPr>
          <w:rFonts w:cstheme="minorHAnsi"/>
          <w:b/>
        </w:rPr>
      </w:pPr>
    </w:p>
    <w:p w:rsidR="00986B77" w:rsidRDefault="00986B77" w:rsidP="00986B77">
      <w:pPr>
        <w:spacing w:after="0" w:line="240" w:lineRule="auto"/>
        <w:rPr>
          <w:rFonts w:cstheme="minorHAnsi"/>
          <w:b/>
        </w:rPr>
      </w:pPr>
    </w:p>
    <w:p w:rsidR="00986B77" w:rsidRDefault="00986B77" w:rsidP="00986B77">
      <w:pPr>
        <w:spacing w:after="0" w:line="240" w:lineRule="auto"/>
        <w:rPr>
          <w:rFonts w:cstheme="minorHAnsi"/>
          <w:b/>
        </w:rPr>
      </w:pPr>
    </w:p>
    <w:p w:rsidR="00986B77" w:rsidRDefault="00986B77" w:rsidP="00986B77">
      <w:pPr>
        <w:spacing w:after="0" w:line="240" w:lineRule="auto"/>
        <w:rPr>
          <w:rFonts w:cstheme="minorHAnsi"/>
          <w:b/>
        </w:rPr>
      </w:pPr>
    </w:p>
    <w:p w:rsidR="00986B77" w:rsidRDefault="00986B77" w:rsidP="00986B77">
      <w:pPr>
        <w:spacing w:after="0" w:line="240" w:lineRule="auto"/>
        <w:rPr>
          <w:rFonts w:cstheme="minorHAnsi"/>
          <w:b/>
        </w:rPr>
      </w:pPr>
    </w:p>
    <w:p w:rsidR="00986B77" w:rsidRDefault="00986B77" w:rsidP="00986B77">
      <w:pPr>
        <w:spacing w:after="0" w:line="240" w:lineRule="auto"/>
        <w:rPr>
          <w:rFonts w:cstheme="minorHAnsi"/>
          <w:b/>
        </w:rPr>
      </w:pPr>
    </w:p>
    <w:p w:rsidR="00986B77" w:rsidRDefault="00986B77" w:rsidP="00986B77">
      <w:pPr>
        <w:spacing w:after="0" w:line="240" w:lineRule="auto"/>
        <w:rPr>
          <w:rFonts w:cstheme="minorHAnsi"/>
          <w:b/>
        </w:rPr>
      </w:pPr>
    </w:p>
    <w:p w:rsidR="00986B77" w:rsidRDefault="00986B77" w:rsidP="00986B77">
      <w:pPr>
        <w:spacing w:after="0" w:line="240" w:lineRule="auto"/>
        <w:rPr>
          <w:rFonts w:cstheme="minorHAnsi"/>
          <w:b/>
        </w:rPr>
      </w:pPr>
    </w:p>
    <w:p w:rsidR="00986B77" w:rsidRDefault="00986B77" w:rsidP="00986B77">
      <w:pPr>
        <w:spacing w:after="0" w:line="240" w:lineRule="auto"/>
        <w:rPr>
          <w:rFonts w:cstheme="minorHAnsi"/>
          <w:b/>
        </w:rPr>
      </w:pPr>
    </w:p>
    <w:p w:rsidR="00986B77" w:rsidRDefault="00986B77" w:rsidP="00986B77">
      <w:pPr>
        <w:spacing w:after="0" w:line="240" w:lineRule="auto"/>
        <w:rPr>
          <w:rFonts w:cstheme="minorHAnsi"/>
          <w:b/>
        </w:rPr>
      </w:pPr>
    </w:p>
    <w:p w:rsidR="00986B77" w:rsidRDefault="00986B77" w:rsidP="00986B77">
      <w:pPr>
        <w:spacing w:after="0" w:line="240" w:lineRule="auto"/>
        <w:rPr>
          <w:rFonts w:cstheme="minorHAnsi"/>
          <w:b/>
        </w:rPr>
      </w:pPr>
    </w:p>
    <w:p w:rsidR="00986B77" w:rsidRDefault="00986B77" w:rsidP="00986B77">
      <w:pPr>
        <w:spacing w:after="0" w:line="240" w:lineRule="auto"/>
        <w:rPr>
          <w:rFonts w:cstheme="minorHAnsi"/>
          <w:b/>
        </w:rPr>
      </w:pPr>
    </w:p>
    <w:p w:rsidR="005D536B" w:rsidRDefault="005D536B" w:rsidP="00CD7186">
      <w:pPr>
        <w:spacing w:after="0" w:line="240" w:lineRule="auto"/>
        <w:rPr>
          <w:rFonts w:cstheme="minorHAnsi"/>
          <w:b/>
        </w:rPr>
        <w:sectPr w:rsidR="005D536B">
          <w:headerReference w:type="default" r:id="rId7"/>
          <w:footerReference w:type="default" r:id="rId8"/>
          <w:pgSz w:w="11906" w:h="16838"/>
          <w:pgMar w:top="1440" w:right="1440" w:bottom="1440" w:left="1440" w:header="708" w:footer="708" w:gutter="0"/>
          <w:cols w:space="708"/>
          <w:docGrid w:linePitch="360"/>
        </w:sectPr>
      </w:pPr>
      <w:bookmarkStart w:id="0" w:name="_GoBack"/>
      <w:bookmarkEnd w:id="0"/>
    </w:p>
    <w:p w:rsidR="00986B77" w:rsidRPr="009024EC" w:rsidRDefault="004E76C2" w:rsidP="005D536B">
      <w:pPr>
        <w:spacing w:after="0" w:line="240" w:lineRule="auto"/>
        <w:rPr>
          <w:rFonts w:cstheme="minorHAnsi"/>
          <w:b/>
        </w:rPr>
      </w:pPr>
      <w:r w:rsidRPr="00CB1364">
        <w:rPr>
          <w:rFonts w:ascii="Arial" w:hAnsi="Arial" w:cs="Arial"/>
          <w:b/>
          <w:bCs/>
          <w:noProof/>
        </w:rPr>
        <w:object w:dxaOrig="7203" w:dyaOrig="5402" w14:anchorId="3CDC0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66.6pt;height:500.3pt;mso-width-percent:0;mso-height-percent:0;mso-width-percent:0;mso-height-percent:0" o:ole="">
            <v:imagedata r:id="rId9" o:title=""/>
          </v:shape>
          <o:OLEObject Type="Embed" ProgID="PowerPoint.Show.12" ShapeID="_x0000_i1025" DrawAspect="Content" ObjectID="_1751441764" r:id="rId10"/>
        </w:object>
      </w:r>
    </w:p>
    <w:p w:rsidR="005D536B" w:rsidRDefault="005D536B" w:rsidP="00986B77">
      <w:pPr>
        <w:spacing w:after="0" w:line="240" w:lineRule="auto"/>
        <w:rPr>
          <w:rFonts w:cstheme="minorHAnsi"/>
          <w:b/>
        </w:rPr>
        <w:sectPr w:rsidR="005D536B" w:rsidSect="005D536B">
          <w:pgSz w:w="16838" w:h="11906" w:orient="landscape"/>
          <w:pgMar w:top="1440" w:right="1440" w:bottom="1440" w:left="1440" w:header="709" w:footer="709" w:gutter="0"/>
          <w:cols w:space="708"/>
          <w:docGrid w:linePitch="360"/>
        </w:sectPr>
      </w:pPr>
    </w:p>
    <w:p w:rsidR="00986B77" w:rsidRDefault="00986B77" w:rsidP="00986B77">
      <w:pPr>
        <w:spacing w:after="0" w:line="240" w:lineRule="auto"/>
        <w:rPr>
          <w:rFonts w:cstheme="minorHAnsi"/>
          <w:b/>
        </w:rPr>
      </w:pPr>
    </w:p>
    <w:p w:rsidR="00986B77" w:rsidRPr="00C2659B" w:rsidRDefault="00986B77" w:rsidP="00986B77">
      <w:pPr>
        <w:rPr>
          <w:rFonts w:ascii="Arial" w:eastAsia="Times New Roman" w:hAnsi="Arial" w:cs="Arial"/>
          <w:b/>
          <w:bCs/>
          <w:color w:val="012D55"/>
          <w:kern w:val="36"/>
          <w:sz w:val="45"/>
          <w:szCs w:val="45"/>
          <w:lang w:eastAsia="en-GB"/>
        </w:rPr>
      </w:pPr>
      <w:r w:rsidRPr="00C2659B">
        <w:rPr>
          <w:rFonts w:ascii="Arial" w:eastAsia="Times New Roman" w:hAnsi="Arial" w:cs="Arial"/>
          <w:b/>
          <w:bCs/>
          <w:color w:val="012D55"/>
          <w:kern w:val="36"/>
          <w:sz w:val="45"/>
          <w:szCs w:val="45"/>
          <w:lang w:eastAsia="en-GB"/>
        </w:rPr>
        <w:t>Drug Allergy</w:t>
      </w:r>
    </w:p>
    <w:p w:rsidR="00986B77" w:rsidRPr="00C2659B" w:rsidRDefault="00986B77" w:rsidP="00986B77">
      <w:pPr>
        <w:shd w:val="clear" w:color="auto" w:fill="FFFFFF"/>
        <w:spacing w:after="0" w:line="264" w:lineRule="atLeast"/>
        <w:outlineLvl w:val="0"/>
        <w:rPr>
          <w:rFonts w:ascii="Arial" w:eastAsia="Times New Roman" w:hAnsi="Arial" w:cs="Arial"/>
          <w:b/>
          <w:bCs/>
          <w:color w:val="012D55"/>
          <w:kern w:val="36"/>
          <w:sz w:val="45"/>
          <w:szCs w:val="45"/>
          <w:lang w:eastAsia="en-GB"/>
        </w:rPr>
      </w:pPr>
      <w:r w:rsidRPr="00C2659B">
        <w:rPr>
          <w:rFonts w:ascii="Arial" w:eastAsia="Times New Roman" w:hAnsi="Arial" w:cs="Arial"/>
          <w:b/>
          <w:bCs/>
          <w:color w:val="012D55"/>
          <w:kern w:val="36"/>
          <w:sz w:val="21"/>
          <w:szCs w:val="21"/>
          <w:bdr w:val="none" w:sz="0" w:space="0" w:color="auto" w:frame="1"/>
          <w:lang w:eastAsia="en-GB"/>
        </w:rPr>
        <w:t>When to consider referral</w:t>
      </w:r>
    </w:p>
    <w:p w:rsidR="00986B77" w:rsidRDefault="00986B77" w:rsidP="00986B77">
      <w:pPr>
        <w:shd w:val="clear" w:color="auto" w:fill="FFFFFF"/>
        <w:spacing w:before="75" w:after="225" w:line="240" w:lineRule="auto"/>
        <w:rPr>
          <w:rFonts w:ascii="Arial" w:eastAsia="Times New Roman" w:hAnsi="Arial" w:cs="Arial"/>
          <w:color w:val="000000"/>
          <w:sz w:val="21"/>
          <w:szCs w:val="21"/>
          <w:lang w:eastAsia="en-GB"/>
        </w:rPr>
      </w:pPr>
      <w:r w:rsidRPr="00C2659B">
        <w:rPr>
          <w:rFonts w:ascii="Arial" w:eastAsia="Times New Roman" w:hAnsi="Arial" w:cs="Arial"/>
          <w:color w:val="000000"/>
          <w:sz w:val="21"/>
          <w:szCs w:val="21"/>
          <w:lang w:eastAsia="en-GB"/>
        </w:rPr>
        <w:t> </w:t>
      </w:r>
      <w:hyperlink r:id="rId11" w:history="1">
        <w:r w:rsidRPr="001A0627">
          <w:rPr>
            <w:rStyle w:val="Hyperlink"/>
            <w:rFonts w:ascii="Arial" w:eastAsia="Times New Roman" w:hAnsi="Arial" w:cs="Arial"/>
            <w:sz w:val="21"/>
            <w:szCs w:val="21"/>
            <w:lang w:eastAsia="en-GB"/>
          </w:rPr>
          <w:t>https://rms.kernowccg.nhs.uk/rms/primary_care_clinical_referral_criteria/rms/primary_care_clinical_referral_criteria/allergy/drug_allergy</w:t>
        </w:r>
      </w:hyperlink>
    </w:p>
    <w:p w:rsidR="00986B77" w:rsidRPr="00C2659B" w:rsidRDefault="00986B77" w:rsidP="00986B77">
      <w:pPr>
        <w:shd w:val="clear" w:color="auto" w:fill="FFFFFF"/>
        <w:spacing w:before="75" w:after="225" w:line="240" w:lineRule="auto"/>
        <w:rPr>
          <w:rFonts w:ascii="Arial" w:eastAsia="Times New Roman" w:hAnsi="Arial" w:cs="Arial"/>
          <w:color w:val="000000"/>
          <w:sz w:val="21"/>
          <w:szCs w:val="21"/>
          <w:lang w:eastAsia="en-GB"/>
        </w:rPr>
      </w:pPr>
      <w:r w:rsidRPr="00C2659B">
        <w:rPr>
          <w:rFonts w:ascii="Arial" w:eastAsia="Times New Roman" w:hAnsi="Arial" w:cs="Arial"/>
          <w:color w:val="000000"/>
          <w:sz w:val="21"/>
          <w:szCs w:val="21"/>
          <w:lang w:eastAsia="en-GB"/>
        </w:rPr>
        <w:t>1.    Suspected anaphylaxis. Please include in the referral any preferred alternative classes of medication which could be considered in order to facilitate management to facilitate more directed investigations.</w:t>
      </w:r>
    </w:p>
    <w:p w:rsidR="00986B77" w:rsidRPr="00C2659B" w:rsidRDefault="00986B77" w:rsidP="00986B77">
      <w:pPr>
        <w:shd w:val="clear" w:color="auto" w:fill="FFFFFF"/>
        <w:spacing w:before="75" w:after="225" w:line="240" w:lineRule="auto"/>
        <w:rPr>
          <w:rFonts w:ascii="Arial" w:eastAsia="Times New Roman" w:hAnsi="Arial" w:cs="Arial"/>
          <w:color w:val="000000"/>
          <w:sz w:val="21"/>
          <w:szCs w:val="21"/>
          <w:lang w:eastAsia="en-GB"/>
        </w:rPr>
      </w:pPr>
      <w:r w:rsidRPr="00C2659B">
        <w:rPr>
          <w:rFonts w:ascii="Arial" w:eastAsia="Times New Roman" w:hAnsi="Arial" w:cs="Arial"/>
          <w:color w:val="000000"/>
          <w:sz w:val="21"/>
          <w:szCs w:val="21"/>
          <w:lang w:eastAsia="en-GB"/>
        </w:rPr>
        <w:t>2. Non-immediate cutaneous reaction where that class of drug is considered essential to management.</w:t>
      </w:r>
    </w:p>
    <w:p w:rsidR="00986B77" w:rsidRPr="00C2659B" w:rsidRDefault="00986B77" w:rsidP="00986B77">
      <w:pPr>
        <w:shd w:val="clear" w:color="auto" w:fill="FFFFFF"/>
        <w:spacing w:before="75" w:after="225" w:line="240" w:lineRule="auto"/>
        <w:rPr>
          <w:rFonts w:ascii="Arial" w:eastAsia="Times New Roman" w:hAnsi="Arial" w:cs="Arial"/>
          <w:color w:val="000000"/>
          <w:sz w:val="21"/>
          <w:szCs w:val="21"/>
          <w:lang w:eastAsia="en-GB"/>
        </w:rPr>
      </w:pPr>
      <w:r w:rsidRPr="00C2659B">
        <w:rPr>
          <w:rFonts w:ascii="Arial" w:eastAsia="Times New Roman" w:hAnsi="Arial" w:cs="Arial"/>
          <w:color w:val="000000"/>
          <w:sz w:val="21"/>
          <w:szCs w:val="21"/>
          <w:lang w:eastAsia="en-GB"/>
        </w:rPr>
        <w:t>3.    A severe non-immediate cutaneous reaction.  Please include in the referral any preferred alternative classes of medication which could be considered to facilitate more directed investigations.</w:t>
      </w:r>
    </w:p>
    <w:p w:rsidR="00986B77" w:rsidRPr="00C2659B" w:rsidRDefault="00986B77" w:rsidP="00986B77">
      <w:pPr>
        <w:shd w:val="clear" w:color="auto" w:fill="FFFFFF"/>
        <w:spacing w:before="75" w:after="225" w:line="240" w:lineRule="auto"/>
        <w:rPr>
          <w:rFonts w:ascii="Arial" w:eastAsia="Times New Roman" w:hAnsi="Arial" w:cs="Arial"/>
          <w:color w:val="000000"/>
          <w:sz w:val="21"/>
          <w:szCs w:val="21"/>
          <w:lang w:eastAsia="en-GB"/>
        </w:rPr>
      </w:pPr>
      <w:r w:rsidRPr="00C2659B">
        <w:rPr>
          <w:rFonts w:ascii="Arial" w:eastAsia="Times New Roman" w:hAnsi="Arial" w:cs="Arial"/>
          <w:color w:val="000000"/>
          <w:sz w:val="21"/>
          <w:szCs w:val="21"/>
          <w:lang w:eastAsia="en-GB"/>
        </w:rPr>
        <w:t xml:space="preserve">4.    NSAID reactions involving urticaria, angioedema, or an asthmatic reaction to </w:t>
      </w:r>
      <w:proofErr w:type="gramStart"/>
      <w:r w:rsidRPr="00C2659B">
        <w:rPr>
          <w:rFonts w:ascii="Arial" w:eastAsia="Times New Roman" w:hAnsi="Arial" w:cs="Arial"/>
          <w:color w:val="000000"/>
          <w:sz w:val="21"/>
          <w:szCs w:val="21"/>
          <w:lang w:eastAsia="en-GB"/>
        </w:rPr>
        <w:t>a  non</w:t>
      </w:r>
      <w:proofErr w:type="gramEnd"/>
      <w:r w:rsidRPr="00C2659B">
        <w:rPr>
          <w:rFonts w:ascii="Arial" w:eastAsia="Times New Roman" w:hAnsi="Arial" w:cs="Arial"/>
          <w:color w:val="000000"/>
          <w:sz w:val="21"/>
          <w:szCs w:val="21"/>
          <w:lang w:eastAsia="en-GB"/>
        </w:rPr>
        <w:t>-selective NSAID</w:t>
      </w:r>
    </w:p>
    <w:p w:rsidR="00986B77" w:rsidRPr="00C2659B" w:rsidRDefault="00986B77" w:rsidP="00986B77">
      <w:pPr>
        <w:shd w:val="clear" w:color="auto" w:fill="FFFFFF"/>
        <w:spacing w:before="75" w:after="225" w:line="240" w:lineRule="auto"/>
        <w:rPr>
          <w:rFonts w:ascii="Arial" w:eastAsia="Times New Roman" w:hAnsi="Arial" w:cs="Arial"/>
          <w:color w:val="000000"/>
          <w:sz w:val="21"/>
          <w:szCs w:val="21"/>
          <w:lang w:eastAsia="en-GB"/>
        </w:rPr>
      </w:pPr>
      <w:r w:rsidRPr="00C2659B">
        <w:rPr>
          <w:rFonts w:ascii="Arial" w:eastAsia="Times New Roman" w:hAnsi="Arial" w:cs="Arial"/>
          <w:color w:val="000000"/>
          <w:sz w:val="21"/>
          <w:szCs w:val="21"/>
          <w:lang w:eastAsia="en-GB"/>
        </w:rPr>
        <w:t>5.    Beta lactam allergy when</w:t>
      </w:r>
    </w:p>
    <w:p w:rsidR="00986B77" w:rsidRPr="00C2659B" w:rsidRDefault="00986B77" w:rsidP="00986B77">
      <w:pPr>
        <w:shd w:val="clear" w:color="auto" w:fill="FFFFFF"/>
        <w:spacing w:before="75" w:after="225" w:line="240" w:lineRule="auto"/>
        <w:ind w:left="1440"/>
        <w:rPr>
          <w:rFonts w:ascii="Arial" w:eastAsia="Times New Roman" w:hAnsi="Arial" w:cs="Arial"/>
          <w:color w:val="000000"/>
          <w:sz w:val="21"/>
          <w:szCs w:val="21"/>
          <w:lang w:eastAsia="en-GB"/>
        </w:rPr>
      </w:pPr>
      <w:r w:rsidRPr="00C2659B">
        <w:rPr>
          <w:rFonts w:ascii="Arial" w:eastAsia="Times New Roman" w:hAnsi="Arial" w:cs="Arial"/>
          <w:color w:val="000000"/>
          <w:sz w:val="21"/>
          <w:szCs w:val="21"/>
          <w:lang w:eastAsia="en-GB"/>
        </w:rPr>
        <w:t>a.    Beta lactams are considered essential for management</w:t>
      </w:r>
    </w:p>
    <w:p w:rsidR="00986B77" w:rsidRPr="00C2659B" w:rsidRDefault="00986B77" w:rsidP="00986B77">
      <w:pPr>
        <w:shd w:val="clear" w:color="auto" w:fill="FFFFFF"/>
        <w:spacing w:before="75" w:after="225" w:line="240" w:lineRule="auto"/>
        <w:ind w:left="1440"/>
        <w:rPr>
          <w:rFonts w:ascii="Arial" w:eastAsia="Times New Roman" w:hAnsi="Arial" w:cs="Arial"/>
          <w:color w:val="000000"/>
          <w:sz w:val="21"/>
          <w:szCs w:val="21"/>
          <w:lang w:eastAsia="en-GB"/>
        </w:rPr>
      </w:pPr>
      <w:r w:rsidRPr="00C2659B">
        <w:rPr>
          <w:rFonts w:ascii="Arial" w:eastAsia="Times New Roman" w:hAnsi="Arial" w:cs="Arial"/>
          <w:color w:val="000000"/>
          <w:sz w:val="21"/>
          <w:szCs w:val="21"/>
          <w:lang w:eastAsia="en-GB"/>
        </w:rPr>
        <w:t>b.    There is likely to be frequent need for beta-lactam antibiotics in the future (eg recurrent bacterial infections or immune deficiency)</w:t>
      </w:r>
    </w:p>
    <w:p w:rsidR="00986B77" w:rsidRPr="00C2659B" w:rsidRDefault="00986B77" w:rsidP="00986B77">
      <w:pPr>
        <w:shd w:val="clear" w:color="auto" w:fill="FFFFFF"/>
        <w:spacing w:before="75" w:after="225" w:line="240" w:lineRule="auto"/>
        <w:ind w:left="1440"/>
        <w:rPr>
          <w:rFonts w:ascii="Arial" w:eastAsia="Times New Roman" w:hAnsi="Arial" w:cs="Arial"/>
          <w:color w:val="000000"/>
          <w:sz w:val="21"/>
          <w:szCs w:val="21"/>
          <w:lang w:eastAsia="en-GB"/>
        </w:rPr>
      </w:pPr>
      <w:r w:rsidRPr="00C2659B">
        <w:rPr>
          <w:rFonts w:ascii="Arial" w:eastAsia="Times New Roman" w:hAnsi="Arial" w:cs="Arial"/>
          <w:color w:val="000000"/>
          <w:sz w:val="21"/>
          <w:szCs w:val="21"/>
          <w:lang w:eastAsia="en-GB"/>
        </w:rPr>
        <w:t>c.    There is suspected allergy to at least one other class of antibiotics in addition to beta lactams</w:t>
      </w:r>
    </w:p>
    <w:p w:rsidR="00986B77" w:rsidRPr="00C2659B" w:rsidRDefault="00986B77" w:rsidP="00986B77">
      <w:pPr>
        <w:shd w:val="clear" w:color="auto" w:fill="FFFFFF"/>
        <w:spacing w:before="75" w:after="225" w:line="240" w:lineRule="auto"/>
        <w:rPr>
          <w:rFonts w:ascii="Arial" w:eastAsia="Times New Roman" w:hAnsi="Arial" w:cs="Arial"/>
          <w:color w:val="000000"/>
          <w:sz w:val="21"/>
          <w:szCs w:val="21"/>
          <w:lang w:eastAsia="en-GB"/>
        </w:rPr>
      </w:pPr>
      <w:r w:rsidRPr="00C2659B">
        <w:rPr>
          <w:rFonts w:ascii="Arial" w:eastAsia="Times New Roman" w:hAnsi="Arial" w:cs="Arial"/>
          <w:color w:val="000000"/>
          <w:sz w:val="21"/>
          <w:szCs w:val="21"/>
          <w:lang w:eastAsia="en-GB"/>
        </w:rPr>
        <w:t>6.    Suspected local anaesthetic allergy where a procedure involving local anaesthetic is needed</w:t>
      </w:r>
    </w:p>
    <w:p w:rsidR="00986B77" w:rsidRPr="00C2659B" w:rsidRDefault="00986B77" w:rsidP="00986B77">
      <w:pPr>
        <w:shd w:val="clear" w:color="auto" w:fill="FFFFFF"/>
        <w:spacing w:after="0" w:line="240" w:lineRule="auto"/>
        <w:rPr>
          <w:rFonts w:ascii="Arial" w:eastAsia="Times New Roman" w:hAnsi="Arial" w:cs="Arial"/>
          <w:color w:val="000000"/>
          <w:sz w:val="21"/>
          <w:szCs w:val="21"/>
          <w:lang w:eastAsia="en-GB"/>
        </w:rPr>
      </w:pPr>
      <w:r w:rsidRPr="00C2659B">
        <w:rPr>
          <w:rFonts w:ascii="Arial" w:eastAsia="Times New Roman" w:hAnsi="Arial" w:cs="Arial"/>
          <w:color w:val="000000"/>
          <w:sz w:val="21"/>
          <w:szCs w:val="21"/>
          <w:lang w:eastAsia="en-GB"/>
        </w:rPr>
        <w:t>7.    Anaphylaxis or another suspected allergic reaction during or immediately after general anaesthesia. These referrals should be sent to the Anaesthetic Allergy Service inbox at:  </w:t>
      </w:r>
      <w:hyperlink r:id="rId12" w:history="1">
        <w:r w:rsidRPr="00C2659B">
          <w:rPr>
            <w:rFonts w:ascii="Arial" w:eastAsia="Times New Roman" w:hAnsi="Arial" w:cs="Arial"/>
            <w:color w:val="012D55"/>
            <w:sz w:val="21"/>
            <w:szCs w:val="21"/>
            <w:u w:val="single"/>
            <w:bdr w:val="none" w:sz="0" w:space="0" w:color="auto" w:frame="1"/>
            <w:lang w:eastAsia="en-GB"/>
          </w:rPr>
          <w:t>plh-tr.PlymouthAnaestheticAllergyService@nhs.net</w:t>
        </w:r>
      </w:hyperlink>
    </w:p>
    <w:p w:rsidR="00986B77" w:rsidRDefault="00986B77" w:rsidP="00986B77">
      <w:pPr>
        <w:shd w:val="clear" w:color="auto" w:fill="FFFFFF"/>
        <w:spacing w:before="75" w:after="225" w:line="240" w:lineRule="auto"/>
        <w:rPr>
          <w:rFonts w:ascii="Arial" w:eastAsia="Times New Roman" w:hAnsi="Arial" w:cs="Arial"/>
          <w:color w:val="000000"/>
          <w:sz w:val="21"/>
          <w:szCs w:val="21"/>
          <w:lang w:eastAsia="en-GB"/>
        </w:rPr>
      </w:pPr>
      <w:r w:rsidRPr="00C2659B">
        <w:rPr>
          <w:rFonts w:ascii="Arial" w:eastAsia="Times New Roman" w:hAnsi="Arial" w:cs="Arial"/>
          <w:color w:val="000000"/>
          <w:sz w:val="21"/>
          <w:szCs w:val="21"/>
          <w:lang w:eastAsia="en-GB"/>
        </w:rPr>
        <w:t>8.    There is diagnostic uncertainty or multiple drugs were involved (especially where the reaction is systemic)</w:t>
      </w:r>
    </w:p>
    <w:sectPr w:rsidR="00986B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6C2" w:rsidRDefault="004E76C2" w:rsidP="00EA0894">
      <w:pPr>
        <w:spacing w:after="0" w:line="240" w:lineRule="auto"/>
      </w:pPr>
      <w:r>
        <w:separator/>
      </w:r>
    </w:p>
  </w:endnote>
  <w:endnote w:type="continuationSeparator" w:id="0">
    <w:p w:rsidR="004E76C2" w:rsidRDefault="004E76C2" w:rsidP="00EA0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6FC" w:rsidRDefault="00986B77" w:rsidP="00986B77">
    <w:pPr>
      <w:pStyle w:val="NoSpacing"/>
      <w:rPr>
        <w:rFonts w:ascii="Arial" w:hAnsi="Arial" w:cs="Arial"/>
      </w:rPr>
    </w:pPr>
    <w:r w:rsidRPr="00832BFA">
      <w:rPr>
        <w:rFonts w:ascii="Arial" w:hAnsi="Arial" w:cs="Arial"/>
      </w:rPr>
      <w:t>R</w:t>
    </w:r>
    <w:r>
      <w:rPr>
        <w:rFonts w:ascii="Arial" w:hAnsi="Arial" w:cs="Arial"/>
      </w:rPr>
      <w:t>I</w:t>
    </w:r>
    <w:r w:rsidRPr="00832BFA">
      <w:rPr>
        <w:rFonts w:ascii="Arial" w:hAnsi="Arial" w:cs="Arial"/>
      </w:rPr>
      <w:t xml:space="preserve">PAL Study </w:t>
    </w:r>
    <w:r>
      <w:rPr>
        <w:rFonts w:ascii="Arial" w:hAnsi="Arial" w:cs="Arial"/>
      </w:rPr>
      <w:t>–</w:t>
    </w:r>
    <w:r w:rsidRPr="00832BFA">
      <w:rPr>
        <w:rFonts w:ascii="Arial" w:hAnsi="Arial" w:cs="Arial"/>
      </w:rPr>
      <w:t xml:space="preserve"> P</w:t>
    </w:r>
    <w:r>
      <w:rPr>
        <w:rFonts w:ascii="Arial" w:hAnsi="Arial" w:cs="Arial"/>
      </w:rPr>
      <w:t xml:space="preserve">enicillin allergy assessment </w:t>
    </w:r>
    <w:r w:rsidR="009866FC">
      <w:rPr>
        <w:rFonts w:ascii="Arial" w:hAnsi="Arial" w:cs="Arial"/>
      </w:rPr>
      <w:t xml:space="preserve">and de-label Protocol                 </w:t>
    </w:r>
    <w:r>
      <w:rPr>
        <w:rFonts w:ascii="Arial" w:hAnsi="Arial" w:cs="Arial"/>
      </w:rPr>
      <w:t>IRAS: 299708</w:t>
    </w:r>
    <w:r w:rsidRPr="00832BFA">
      <w:rPr>
        <w:rFonts w:ascii="Arial" w:hAnsi="Arial" w:cs="Arial"/>
      </w:rPr>
      <w:t xml:space="preserve"> </w:t>
    </w:r>
  </w:p>
  <w:p w:rsidR="00986B77" w:rsidRPr="00832BFA" w:rsidRDefault="00986B77" w:rsidP="00986B77">
    <w:pPr>
      <w:pStyle w:val="NoSpacing"/>
      <w:rPr>
        <w:rFonts w:ascii="Arial" w:hAnsi="Arial" w:cs="Arial"/>
      </w:rPr>
    </w:pPr>
    <w:r w:rsidRPr="00832BFA">
      <w:rPr>
        <w:rFonts w:ascii="Arial" w:hAnsi="Arial" w:cs="Arial"/>
      </w:rPr>
      <w:t>V</w:t>
    </w:r>
    <w:r>
      <w:rPr>
        <w:rFonts w:ascii="Arial" w:hAnsi="Arial" w:cs="Arial"/>
      </w:rPr>
      <w:t>1.0</w:t>
    </w:r>
    <w:r w:rsidRPr="00832BFA">
      <w:rPr>
        <w:rFonts w:ascii="Arial" w:hAnsi="Arial" w:cs="Arial"/>
      </w:rPr>
      <w:t xml:space="preserve"> – </w:t>
    </w:r>
    <w:r w:rsidR="005E1F08" w:rsidRPr="005E1F08">
      <w:rPr>
        <w:rFonts w:ascii="Arial" w:hAnsi="Arial" w:cs="Arial"/>
      </w:rPr>
      <w:t>23-05-22</w:t>
    </w:r>
  </w:p>
  <w:p w:rsidR="00986B77" w:rsidRDefault="00986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6C2" w:rsidRDefault="004E76C2" w:rsidP="00EA0894">
      <w:pPr>
        <w:spacing w:after="0" w:line="240" w:lineRule="auto"/>
      </w:pPr>
      <w:r>
        <w:separator/>
      </w:r>
    </w:p>
  </w:footnote>
  <w:footnote w:type="continuationSeparator" w:id="0">
    <w:p w:rsidR="004E76C2" w:rsidRDefault="004E76C2" w:rsidP="00EA0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894" w:rsidRDefault="00986B77" w:rsidP="00EA0894">
    <w:pPr>
      <w:pStyle w:val="Header"/>
      <w:jc w:val="right"/>
    </w:pPr>
    <w:r w:rsidRPr="00986B77">
      <w:rPr>
        <w:rFonts w:ascii="Arial" w:eastAsia="MS PGothic" w:hAnsi="Arial" w:cs="Arial"/>
        <w:noProof/>
        <w:szCs w:val="24"/>
        <w:lang w:eastAsia="en-GB"/>
      </w:rPr>
      <w:drawing>
        <wp:inline distT="0" distB="0" distL="0" distR="0" wp14:anchorId="01A95FEE" wp14:editId="59D1DB17">
          <wp:extent cx="1162685" cy="75882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r="22821"/>
                  <a:stretch>
                    <a:fillRect/>
                  </a:stretch>
                </pic:blipFill>
                <pic:spPr bwMode="auto">
                  <a:xfrm>
                    <a:off x="0" y="0"/>
                    <a:ext cx="1162685" cy="758825"/>
                  </a:xfrm>
                  <a:prstGeom prst="rect">
                    <a:avLst/>
                  </a:prstGeom>
                  <a:noFill/>
                  <a:ln>
                    <a:noFill/>
                  </a:ln>
                </pic:spPr>
              </pic:pic>
            </a:graphicData>
          </a:graphic>
        </wp:inline>
      </w:drawing>
    </w:r>
    <w:r w:rsidRPr="00986B77">
      <w:rPr>
        <w:rFonts w:ascii="Arial" w:eastAsia="MS PGothic" w:hAnsi="Arial" w:cs="Arial"/>
        <w:noProof/>
        <w:szCs w:val="24"/>
        <w:lang w:eastAsia="en-GB"/>
      </w:rPr>
      <w:drawing>
        <wp:anchor distT="36576" distB="36576" distL="36576" distR="36576" simplePos="0" relativeHeight="251659264" behindDoc="0" locked="0" layoutInCell="1" allowOverlap="1" wp14:anchorId="62CEF2F2" wp14:editId="384B214E">
          <wp:simplePos x="0" y="0"/>
          <wp:positionH relativeFrom="column">
            <wp:posOffset>0</wp:posOffset>
          </wp:positionH>
          <wp:positionV relativeFrom="paragraph">
            <wp:posOffset>36195</wp:posOffset>
          </wp:positionV>
          <wp:extent cx="1280160" cy="286385"/>
          <wp:effectExtent l="0" t="0" r="0" b="0"/>
          <wp:wrapNone/>
          <wp:docPr id="11" name="Picture 1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graphical user interfac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5769" t="40790" r="67963" b="21710"/>
                  <a:stretch>
                    <a:fillRect/>
                  </a:stretch>
                </pic:blipFill>
                <pic:spPr bwMode="auto">
                  <a:xfrm>
                    <a:off x="0" y="0"/>
                    <a:ext cx="1280160" cy="286385"/>
                  </a:xfrm>
                  <a:prstGeom prst="rect">
                    <a:avLst/>
                  </a:prstGeom>
                  <a:noFill/>
                  <a:ln>
                    <a:noFill/>
                  </a:ln>
                </pic:spPr>
              </pic:pic>
            </a:graphicData>
          </a:graphic>
          <wp14:sizeRelH relativeFrom="page">
            <wp14:pctWidth>0</wp14:pctWidth>
          </wp14:sizeRelH>
          <wp14:sizeRelV relativeFrom="page">
            <wp14:pctHeight>0</wp14:pctHeight>
          </wp14:sizeRelV>
        </wp:anchor>
      </w:drawing>
    </w:r>
    <w:r w:rsidR="00EA0894">
      <w:rPr>
        <w:noProof/>
        <w:lang w:eastAsia="en-GB"/>
      </w:rPr>
      <w:drawing>
        <wp:inline distT="0" distB="0" distL="0" distR="0" wp14:anchorId="35497CB0" wp14:editId="5F412D20">
          <wp:extent cx="2228850" cy="662320"/>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28850" cy="662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FF4"/>
    <w:multiLevelType w:val="hybridMultilevel"/>
    <w:tmpl w:val="A8D21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C6FAF"/>
    <w:multiLevelType w:val="hybridMultilevel"/>
    <w:tmpl w:val="43C2D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075F62"/>
    <w:multiLevelType w:val="hybridMultilevel"/>
    <w:tmpl w:val="7EEA7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13F"/>
    <w:rsid w:val="00021297"/>
    <w:rsid w:val="000360D3"/>
    <w:rsid w:val="000905FC"/>
    <w:rsid w:val="000A1251"/>
    <w:rsid w:val="000A7BE3"/>
    <w:rsid w:val="000F3937"/>
    <w:rsid w:val="000F46A2"/>
    <w:rsid w:val="001475C9"/>
    <w:rsid w:val="0015636E"/>
    <w:rsid w:val="0018713F"/>
    <w:rsid w:val="001C1675"/>
    <w:rsid w:val="002040DB"/>
    <w:rsid w:val="00204751"/>
    <w:rsid w:val="002360FA"/>
    <w:rsid w:val="00251E62"/>
    <w:rsid w:val="00257E93"/>
    <w:rsid w:val="002607AE"/>
    <w:rsid w:val="002A5D06"/>
    <w:rsid w:val="002B3E5E"/>
    <w:rsid w:val="002B7C6B"/>
    <w:rsid w:val="003412BE"/>
    <w:rsid w:val="003C23C0"/>
    <w:rsid w:val="0042284F"/>
    <w:rsid w:val="004C74B2"/>
    <w:rsid w:val="004D4BB3"/>
    <w:rsid w:val="004E76C2"/>
    <w:rsid w:val="005D536B"/>
    <w:rsid w:val="005E1F08"/>
    <w:rsid w:val="00646A8B"/>
    <w:rsid w:val="00651B8F"/>
    <w:rsid w:val="00652165"/>
    <w:rsid w:val="00674999"/>
    <w:rsid w:val="006A03D8"/>
    <w:rsid w:val="006B4553"/>
    <w:rsid w:val="00706F03"/>
    <w:rsid w:val="0071163C"/>
    <w:rsid w:val="007358B5"/>
    <w:rsid w:val="00782D9B"/>
    <w:rsid w:val="00796916"/>
    <w:rsid w:val="007D4962"/>
    <w:rsid w:val="008034A0"/>
    <w:rsid w:val="00887DA8"/>
    <w:rsid w:val="008A3F9F"/>
    <w:rsid w:val="00921867"/>
    <w:rsid w:val="00930746"/>
    <w:rsid w:val="009327DD"/>
    <w:rsid w:val="00957D56"/>
    <w:rsid w:val="009866FC"/>
    <w:rsid w:val="00986B77"/>
    <w:rsid w:val="00A34FE5"/>
    <w:rsid w:val="00A44A75"/>
    <w:rsid w:val="00A942AA"/>
    <w:rsid w:val="00AB4037"/>
    <w:rsid w:val="00AE1A27"/>
    <w:rsid w:val="00AE367D"/>
    <w:rsid w:val="00AE563D"/>
    <w:rsid w:val="00B32BD5"/>
    <w:rsid w:val="00B63726"/>
    <w:rsid w:val="00B810EF"/>
    <w:rsid w:val="00B92F17"/>
    <w:rsid w:val="00C021FF"/>
    <w:rsid w:val="00C220CB"/>
    <w:rsid w:val="00C66B8A"/>
    <w:rsid w:val="00C90EED"/>
    <w:rsid w:val="00CA64E1"/>
    <w:rsid w:val="00CD7186"/>
    <w:rsid w:val="00CE15BD"/>
    <w:rsid w:val="00D81E18"/>
    <w:rsid w:val="00E92893"/>
    <w:rsid w:val="00EA0894"/>
    <w:rsid w:val="00F55CE4"/>
    <w:rsid w:val="00FA0A12"/>
    <w:rsid w:val="00FC1668"/>
    <w:rsid w:val="00FE3B9F"/>
    <w:rsid w:val="00FE437C"/>
    <w:rsid w:val="00FE5A47"/>
    <w:rsid w:val="00FF3B42"/>
    <w:rsid w:val="00FF3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1BA8E87-AB1A-480F-824C-E8F29FE0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1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63C"/>
    <w:pPr>
      <w:ind w:left="720"/>
      <w:contextualSpacing/>
    </w:pPr>
  </w:style>
  <w:style w:type="paragraph" w:customStyle="1" w:styleId="Default">
    <w:name w:val="Default"/>
    <w:rsid w:val="008034A0"/>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uiPriority w:val="35"/>
    <w:unhideWhenUsed/>
    <w:qFormat/>
    <w:rsid w:val="00B63726"/>
    <w:pPr>
      <w:spacing w:line="240" w:lineRule="auto"/>
    </w:pPr>
    <w:rPr>
      <w:b/>
      <w:bCs/>
      <w:color w:val="4F81BD" w:themeColor="accent1"/>
      <w:sz w:val="18"/>
      <w:szCs w:val="18"/>
    </w:rPr>
  </w:style>
  <w:style w:type="paragraph" w:styleId="Header">
    <w:name w:val="header"/>
    <w:basedOn w:val="Normal"/>
    <w:link w:val="HeaderChar"/>
    <w:uiPriority w:val="99"/>
    <w:unhideWhenUsed/>
    <w:rsid w:val="00EA0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894"/>
  </w:style>
  <w:style w:type="paragraph" w:styleId="Footer">
    <w:name w:val="footer"/>
    <w:basedOn w:val="Normal"/>
    <w:link w:val="FooterChar"/>
    <w:uiPriority w:val="99"/>
    <w:unhideWhenUsed/>
    <w:rsid w:val="00EA0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894"/>
  </w:style>
  <w:style w:type="paragraph" w:styleId="BalloonText">
    <w:name w:val="Balloon Text"/>
    <w:basedOn w:val="Normal"/>
    <w:link w:val="BalloonTextChar"/>
    <w:uiPriority w:val="99"/>
    <w:semiHidden/>
    <w:unhideWhenUsed/>
    <w:rsid w:val="00EA0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894"/>
    <w:rPr>
      <w:rFonts w:ascii="Tahoma" w:hAnsi="Tahoma" w:cs="Tahoma"/>
      <w:sz w:val="16"/>
      <w:szCs w:val="16"/>
    </w:rPr>
  </w:style>
  <w:style w:type="character" w:styleId="CommentReference">
    <w:name w:val="annotation reference"/>
    <w:basedOn w:val="DefaultParagraphFont"/>
    <w:uiPriority w:val="99"/>
    <w:semiHidden/>
    <w:unhideWhenUsed/>
    <w:rsid w:val="009327DD"/>
    <w:rPr>
      <w:sz w:val="16"/>
      <w:szCs w:val="16"/>
    </w:rPr>
  </w:style>
  <w:style w:type="paragraph" w:styleId="CommentText">
    <w:name w:val="annotation text"/>
    <w:basedOn w:val="Normal"/>
    <w:link w:val="CommentTextChar"/>
    <w:uiPriority w:val="99"/>
    <w:semiHidden/>
    <w:unhideWhenUsed/>
    <w:rsid w:val="009327DD"/>
    <w:pPr>
      <w:spacing w:line="240" w:lineRule="auto"/>
    </w:pPr>
    <w:rPr>
      <w:sz w:val="20"/>
      <w:szCs w:val="20"/>
    </w:rPr>
  </w:style>
  <w:style w:type="character" w:customStyle="1" w:styleId="CommentTextChar">
    <w:name w:val="Comment Text Char"/>
    <w:basedOn w:val="DefaultParagraphFont"/>
    <w:link w:val="CommentText"/>
    <w:uiPriority w:val="99"/>
    <w:semiHidden/>
    <w:rsid w:val="009327DD"/>
    <w:rPr>
      <w:sz w:val="20"/>
      <w:szCs w:val="20"/>
    </w:rPr>
  </w:style>
  <w:style w:type="paragraph" w:styleId="CommentSubject">
    <w:name w:val="annotation subject"/>
    <w:basedOn w:val="CommentText"/>
    <w:next w:val="CommentText"/>
    <w:link w:val="CommentSubjectChar"/>
    <w:uiPriority w:val="99"/>
    <w:semiHidden/>
    <w:unhideWhenUsed/>
    <w:rsid w:val="009327DD"/>
    <w:rPr>
      <w:b/>
      <w:bCs/>
    </w:rPr>
  </w:style>
  <w:style w:type="character" w:customStyle="1" w:styleId="CommentSubjectChar">
    <w:name w:val="Comment Subject Char"/>
    <w:basedOn w:val="CommentTextChar"/>
    <w:link w:val="CommentSubject"/>
    <w:uiPriority w:val="99"/>
    <w:semiHidden/>
    <w:rsid w:val="009327DD"/>
    <w:rPr>
      <w:b/>
      <w:bCs/>
      <w:sz w:val="20"/>
      <w:szCs w:val="20"/>
    </w:rPr>
  </w:style>
  <w:style w:type="character" w:styleId="Hyperlink">
    <w:name w:val="Hyperlink"/>
    <w:basedOn w:val="DefaultParagraphFont"/>
    <w:uiPriority w:val="99"/>
    <w:unhideWhenUsed/>
    <w:rsid w:val="00986B77"/>
    <w:rPr>
      <w:color w:val="0000FF" w:themeColor="hyperlink"/>
      <w:u w:val="single"/>
    </w:rPr>
  </w:style>
  <w:style w:type="paragraph" w:styleId="NoSpacing">
    <w:name w:val="No Spacing"/>
    <w:link w:val="NoSpacingChar"/>
    <w:uiPriority w:val="1"/>
    <w:qFormat/>
    <w:rsid w:val="00986B77"/>
    <w:pPr>
      <w:spacing w:after="0" w:line="240" w:lineRule="auto"/>
    </w:pPr>
    <w:rPr>
      <w:rFonts w:ascii="Calibri" w:eastAsia="Times New Roman" w:hAnsi="Calibri" w:cs="Calibri"/>
    </w:rPr>
  </w:style>
  <w:style w:type="character" w:customStyle="1" w:styleId="NoSpacingChar">
    <w:name w:val="No Spacing Char"/>
    <w:link w:val="NoSpacing"/>
    <w:uiPriority w:val="1"/>
    <w:locked/>
    <w:rsid w:val="00986B77"/>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61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plh-tr.PlymouthAnaestheticAllergyService@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ms.kernowccg.nhs.uk/rms/primary_care_clinical_referral_criteria/rms/primary_care_clinical_referral_criteria/allergy/drug_allergy" TargetMode="External"/><Relationship Id="rId5" Type="http://schemas.openxmlformats.org/officeDocument/2006/relationships/footnotes" Target="footnotes.xml"/><Relationship Id="rId10" Type="http://schemas.openxmlformats.org/officeDocument/2006/relationships/package" Target="embeddings/Microsoft_PowerPoint_Presentation.pptx"/><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1402</Words>
  <Characters>7995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Cornwall NHS</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Powell</dc:creator>
  <cp:lastModifiedBy>Hannah Davis</cp:lastModifiedBy>
  <cp:revision>2</cp:revision>
  <cp:lastPrinted>2021-04-28T20:42:00Z</cp:lastPrinted>
  <dcterms:created xsi:type="dcterms:W3CDTF">2023-07-21T14:50:00Z</dcterms:created>
  <dcterms:modified xsi:type="dcterms:W3CDTF">2023-07-21T14:50:00Z</dcterms:modified>
</cp:coreProperties>
</file>